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E689" w14:textId="77777777" w:rsidR="00B27AC9" w:rsidRDefault="00B27AC9" w:rsidP="00B27AC9">
      <w:pPr>
        <w:spacing w:after="200" w:line="480" w:lineRule="auto"/>
        <w:ind w:firstLine="720"/>
        <w:jc w:val="both"/>
        <w:rPr>
          <w:rFonts w:ascii="Arial" w:hAnsi="Arial" w:cs="Arial"/>
          <w:b/>
          <w:bCs/>
          <w:color w:val="000000"/>
        </w:rPr>
      </w:pPr>
    </w:p>
    <w:p w14:paraId="10666015" w14:textId="36C04B7E" w:rsidR="00B27AC9" w:rsidRPr="00B27AC9" w:rsidRDefault="00B27AC9" w:rsidP="00B27AC9">
      <w:pPr>
        <w:spacing w:after="200" w:line="480" w:lineRule="auto"/>
        <w:ind w:firstLine="720"/>
        <w:jc w:val="center"/>
        <w:rPr>
          <w:color w:val="000000"/>
        </w:rPr>
      </w:pPr>
      <w:r w:rsidRPr="00B27AC9">
        <w:rPr>
          <w:rFonts w:ascii="Arial" w:hAnsi="Arial" w:cs="Arial"/>
          <w:b/>
          <w:bCs/>
          <w:color w:val="000000"/>
        </w:rPr>
        <w:t xml:space="preserve">Resultados clínicos e radiográficos do tratamento da escoliose neuromuscular com parafusos de S2-alar-ilíaco guiados por navegação </w:t>
      </w:r>
      <w:proofErr w:type="spellStart"/>
      <w:r w:rsidRPr="00B27AC9">
        <w:rPr>
          <w:rFonts w:ascii="Arial" w:hAnsi="Arial" w:cs="Arial"/>
          <w:b/>
          <w:bCs/>
          <w:color w:val="000000"/>
        </w:rPr>
        <w:t>intraoperatória</w:t>
      </w:r>
      <w:proofErr w:type="spellEnd"/>
      <w:r w:rsidRPr="00B27AC9">
        <w:rPr>
          <w:rFonts w:ascii="Arial" w:hAnsi="Arial" w:cs="Arial"/>
          <w:b/>
          <w:bCs/>
          <w:color w:val="000000"/>
        </w:rPr>
        <w:t>.</w:t>
      </w:r>
    </w:p>
    <w:p w14:paraId="6858BDC6" w14:textId="77777777" w:rsidR="00B27AC9" w:rsidRPr="00B27AC9" w:rsidRDefault="00B27AC9" w:rsidP="00B27AC9">
      <w:pPr>
        <w:jc w:val="both"/>
        <w:rPr>
          <w:color w:val="000000"/>
        </w:rPr>
      </w:pPr>
      <w:r w:rsidRPr="00B27AC9">
        <w:rPr>
          <w:rFonts w:ascii="Arial" w:hAnsi="Arial" w:cs="Arial"/>
          <w:b/>
          <w:bCs/>
          <w:color w:val="000000"/>
        </w:rPr>
        <w:t>Autores:</w:t>
      </w:r>
    </w:p>
    <w:p w14:paraId="2F755176" w14:textId="77777777" w:rsidR="00B27AC9" w:rsidRPr="00B27AC9" w:rsidRDefault="00B27AC9" w:rsidP="00B27AC9">
      <w:pPr>
        <w:jc w:val="both"/>
        <w:rPr>
          <w:color w:val="000000"/>
        </w:rPr>
      </w:pPr>
      <w:r w:rsidRPr="00B27AC9">
        <w:rPr>
          <w:rFonts w:ascii="Arial" w:hAnsi="Arial" w:cs="Arial"/>
          <w:color w:val="000000"/>
        </w:rPr>
        <w:t>Claudionor Nogueira Costa Segundo</w:t>
      </w:r>
      <w:r w:rsidRPr="00B27AC9">
        <w:rPr>
          <w:rFonts w:ascii="Arial" w:hAnsi="Arial" w:cs="Arial"/>
          <w:color w:val="000000"/>
          <w:vertAlign w:val="superscript"/>
        </w:rPr>
        <w:t>1</w:t>
      </w:r>
    </w:p>
    <w:p w14:paraId="42C2F15C" w14:textId="77777777" w:rsidR="00B27AC9" w:rsidRPr="00B27AC9" w:rsidRDefault="00B27AC9" w:rsidP="00B27AC9">
      <w:pPr>
        <w:jc w:val="both"/>
        <w:rPr>
          <w:color w:val="000000"/>
        </w:rPr>
      </w:pPr>
      <w:r w:rsidRPr="00B27AC9">
        <w:rPr>
          <w:rFonts w:ascii="Arial" w:hAnsi="Arial" w:cs="Arial"/>
          <w:color w:val="000000"/>
        </w:rPr>
        <w:t>Alex Oliveira de Araújo</w:t>
      </w:r>
      <w:r w:rsidRPr="00B27AC9">
        <w:rPr>
          <w:rFonts w:ascii="Arial" w:hAnsi="Arial" w:cs="Arial"/>
          <w:color w:val="000000"/>
          <w:vertAlign w:val="superscript"/>
        </w:rPr>
        <w:t>1</w:t>
      </w:r>
    </w:p>
    <w:p w14:paraId="002CD3C4" w14:textId="2070B398" w:rsidR="00B27AC9" w:rsidRPr="00B27AC9" w:rsidRDefault="00B27AC9" w:rsidP="00B27AC9">
      <w:pPr>
        <w:jc w:val="both"/>
        <w:rPr>
          <w:rFonts w:ascii="Arial" w:hAnsi="Arial" w:cs="Arial"/>
          <w:color w:val="000000"/>
          <w:vertAlign w:val="superscript"/>
        </w:rPr>
      </w:pPr>
      <w:r w:rsidRPr="00B27AC9">
        <w:rPr>
          <w:rFonts w:ascii="Arial" w:hAnsi="Arial" w:cs="Arial"/>
          <w:color w:val="000000"/>
        </w:rPr>
        <w:t>Ricardo de Amoreira Gepp</w:t>
      </w:r>
      <w:r w:rsidRPr="00B27AC9">
        <w:rPr>
          <w:rFonts w:ascii="Arial" w:hAnsi="Arial" w:cs="Arial"/>
          <w:color w:val="000000"/>
          <w:vertAlign w:val="superscript"/>
        </w:rPr>
        <w:t>1</w:t>
      </w:r>
    </w:p>
    <w:p w14:paraId="6EA9D61C" w14:textId="77777777" w:rsidR="00B27AC9" w:rsidRPr="00B27AC9" w:rsidRDefault="00B27AC9" w:rsidP="00B27AC9">
      <w:pPr>
        <w:jc w:val="both"/>
        <w:rPr>
          <w:rFonts w:ascii="Arial" w:hAnsi="Arial" w:cs="Arial"/>
          <w:color w:val="000000"/>
          <w:vertAlign w:val="superscript"/>
        </w:rPr>
      </w:pPr>
      <w:r w:rsidRPr="00B27AC9">
        <w:rPr>
          <w:rFonts w:ascii="Arial" w:hAnsi="Arial" w:cs="Arial"/>
          <w:color w:val="000000"/>
        </w:rPr>
        <w:t>Cícero Ricardo Gomes</w:t>
      </w:r>
      <w:r w:rsidRPr="00B27AC9">
        <w:rPr>
          <w:rFonts w:ascii="Arial" w:hAnsi="Arial" w:cs="Arial"/>
          <w:color w:val="000000"/>
          <w:vertAlign w:val="superscript"/>
        </w:rPr>
        <w:t>1</w:t>
      </w:r>
    </w:p>
    <w:p w14:paraId="0F651B55" w14:textId="1EA688F7" w:rsidR="00B27AC9" w:rsidRPr="00B27AC9" w:rsidRDefault="00B27AC9" w:rsidP="00B27AC9">
      <w:pPr>
        <w:rPr>
          <w:color w:val="000000"/>
        </w:rPr>
      </w:pPr>
    </w:p>
    <w:p w14:paraId="34D64460" w14:textId="77777777" w:rsidR="00B27AC9" w:rsidRPr="00B27AC9" w:rsidRDefault="00B27AC9" w:rsidP="00B27AC9">
      <w:pPr>
        <w:numPr>
          <w:ilvl w:val="0"/>
          <w:numId w:val="2"/>
        </w:numPr>
        <w:ind w:left="360"/>
        <w:jc w:val="both"/>
        <w:textAlignment w:val="baseline"/>
        <w:rPr>
          <w:rFonts w:ascii="Arial" w:hAnsi="Arial" w:cs="Arial"/>
          <w:color w:val="000000"/>
          <w:sz w:val="18"/>
          <w:szCs w:val="18"/>
        </w:rPr>
      </w:pPr>
      <w:r w:rsidRPr="00B27AC9">
        <w:rPr>
          <w:rFonts w:ascii="Arial" w:hAnsi="Arial" w:cs="Arial"/>
          <w:color w:val="000000"/>
          <w:sz w:val="18"/>
          <w:szCs w:val="18"/>
        </w:rPr>
        <w:t>Rede Sarah de Hospitais de Reabilitação, Brasília, DF, Brasil</w:t>
      </w:r>
    </w:p>
    <w:p w14:paraId="53B402B6" w14:textId="77777777" w:rsidR="00B27AC9" w:rsidRDefault="00B27AC9" w:rsidP="00B27AC9">
      <w:pPr>
        <w:spacing w:after="200" w:line="480" w:lineRule="auto"/>
        <w:jc w:val="both"/>
        <w:rPr>
          <w:rFonts w:ascii="Arial" w:hAnsi="Arial" w:cs="Arial"/>
          <w:b/>
          <w:bCs/>
          <w:color w:val="000000"/>
        </w:rPr>
      </w:pPr>
    </w:p>
    <w:p w14:paraId="62608EEA" w14:textId="18D58DF7" w:rsidR="00B27AC9" w:rsidRPr="00B27AC9" w:rsidRDefault="00B27AC9" w:rsidP="00B27AC9">
      <w:pPr>
        <w:spacing w:after="200" w:line="480" w:lineRule="auto"/>
        <w:ind w:firstLine="720"/>
        <w:jc w:val="both"/>
        <w:rPr>
          <w:color w:val="000000"/>
        </w:rPr>
      </w:pPr>
      <w:r w:rsidRPr="00B27AC9">
        <w:rPr>
          <w:rFonts w:ascii="Arial" w:hAnsi="Arial" w:cs="Arial"/>
          <w:b/>
          <w:bCs/>
          <w:color w:val="000000"/>
        </w:rPr>
        <w:t>INTRODUÇÃO</w:t>
      </w:r>
    </w:p>
    <w:p w14:paraId="2D579202" w14:textId="77777777" w:rsidR="00B27AC9" w:rsidRPr="00B27AC9" w:rsidRDefault="00B27AC9" w:rsidP="00B27AC9">
      <w:pPr>
        <w:spacing w:after="200" w:line="480" w:lineRule="auto"/>
        <w:ind w:firstLine="720"/>
        <w:jc w:val="both"/>
        <w:rPr>
          <w:color w:val="000000"/>
        </w:rPr>
      </w:pPr>
      <w:r w:rsidRPr="00B27AC9">
        <w:rPr>
          <w:rFonts w:ascii="Arial" w:hAnsi="Arial" w:cs="Arial"/>
          <w:color w:val="000000"/>
        </w:rPr>
        <w:t xml:space="preserve">A fixação </w:t>
      </w:r>
      <w:proofErr w:type="spellStart"/>
      <w:r w:rsidRPr="00B27AC9">
        <w:rPr>
          <w:rFonts w:ascii="Arial" w:hAnsi="Arial" w:cs="Arial"/>
          <w:color w:val="000000"/>
        </w:rPr>
        <w:t>espinopélvica</w:t>
      </w:r>
      <w:proofErr w:type="spellEnd"/>
      <w:r w:rsidRPr="00B27AC9">
        <w:rPr>
          <w:rFonts w:ascii="Arial" w:hAnsi="Arial" w:cs="Arial"/>
          <w:color w:val="000000"/>
        </w:rPr>
        <w:t xml:space="preserve"> rígida pode ser necessária para patologias complexas da coluna, como deformidades neuromusculares ou congênitas, escoliose do adulto, </w:t>
      </w:r>
      <w:proofErr w:type="spellStart"/>
      <w:r w:rsidRPr="00B27AC9">
        <w:rPr>
          <w:rFonts w:ascii="Arial" w:hAnsi="Arial" w:cs="Arial"/>
          <w:color w:val="000000"/>
        </w:rPr>
        <w:t>espondilolistese</w:t>
      </w:r>
      <w:proofErr w:type="spellEnd"/>
      <w:r w:rsidRPr="00B27AC9">
        <w:rPr>
          <w:rFonts w:ascii="Arial" w:hAnsi="Arial" w:cs="Arial"/>
          <w:color w:val="000000"/>
        </w:rPr>
        <w:t xml:space="preserve"> de alto grau e </w:t>
      </w:r>
      <w:proofErr w:type="spellStart"/>
      <w:proofErr w:type="gramStart"/>
      <w:r w:rsidRPr="00B27AC9">
        <w:rPr>
          <w:rFonts w:ascii="Arial" w:hAnsi="Arial" w:cs="Arial"/>
          <w:color w:val="000000"/>
        </w:rPr>
        <w:t>pseudoartrose</w:t>
      </w:r>
      <w:proofErr w:type="spellEnd"/>
      <w:r w:rsidRPr="00B27AC9">
        <w:rPr>
          <w:rFonts w:ascii="Arial" w:hAnsi="Arial" w:cs="Arial"/>
          <w:color w:val="000000"/>
        </w:rPr>
        <w:t>(</w:t>
      </w:r>
      <w:proofErr w:type="gramEnd"/>
      <w:r w:rsidRPr="00B27AC9">
        <w:rPr>
          <w:rFonts w:ascii="Arial" w:hAnsi="Arial" w:cs="Arial"/>
          <w:color w:val="000000"/>
        </w:rPr>
        <w:t xml:space="preserve">1). As principais opções para realizar essa fixação são a técnica de </w:t>
      </w:r>
      <w:proofErr w:type="spellStart"/>
      <w:r w:rsidRPr="00B27AC9">
        <w:rPr>
          <w:rFonts w:ascii="Arial" w:hAnsi="Arial" w:cs="Arial"/>
          <w:color w:val="000000"/>
        </w:rPr>
        <w:t>Galveston</w:t>
      </w:r>
      <w:proofErr w:type="spellEnd"/>
      <w:r w:rsidRPr="00B27AC9">
        <w:rPr>
          <w:rFonts w:ascii="Arial" w:hAnsi="Arial" w:cs="Arial"/>
          <w:color w:val="000000"/>
        </w:rPr>
        <w:t xml:space="preserve">, desenvolvida por Allen e Ferguson em 1984, o parafuso de ilíaco (EI) e o parafuso S2-alar-ilíaco, descrito em 2007 por </w:t>
      </w:r>
      <w:proofErr w:type="spellStart"/>
      <w:r w:rsidRPr="00B27AC9">
        <w:rPr>
          <w:rFonts w:ascii="Arial" w:hAnsi="Arial" w:cs="Arial"/>
          <w:color w:val="000000"/>
        </w:rPr>
        <w:t>Sponseller</w:t>
      </w:r>
      <w:proofErr w:type="spellEnd"/>
      <w:r w:rsidRPr="00B27AC9">
        <w:rPr>
          <w:rFonts w:ascii="Arial" w:hAnsi="Arial" w:cs="Arial"/>
          <w:color w:val="000000"/>
        </w:rPr>
        <w:t xml:space="preserve"> et al. (S2AI) (2-6).</w:t>
      </w:r>
    </w:p>
    <w:p w14:paraId="138918E4" w14:textId="77777777" w:rsidR="00B27AC9" w:rsidRPr="00B27AC9" w:rsidRDefault="00B27AC9" w:rsidP="00B27AC9">
      <w:pPr>
        <w:spacing w:after="200" w:line="480" w:lineRule="auto"/>
        <w:ind w:firstLine="720"/>
        <w:jc w:val="both"/>
        <w:rPr>
          <w:color w:val="000000"/>
        </w:rPr>
      </w:pPr>
      <w:r w:rsidRPr="00B27AC9">
        <w:rPr>
          <w:rFonts w:ascii="Arial" w:hAnsi="Arial" w:cs="Arial"/>
          <w:color w:val="000000"/>
        </w:rPr>
        <w:t>Pacientes com escoliose neuromuscular apresentam progressão mais rápida, curvas mais rígidas e complexas, e geralmente necessitam de tratamento cirúrgico (7). A cirurgia visa obter uma coluna bem equilibrada na posição sentada, corrigir a obliquidade pélvica, dar mais independência aos membros superiores e interromper a deterioração da função pulmonar (8). Portanto, o tratamento padrão-ouro para pacientes com escoliose neuromuscular e obliquidade pélvica aumentada geralmente inclui a fixação da pelve. (9,10).</w:t>
      </w:r>
    </w:p>
    <w:p w14:paraId="67AB0645" w14:textId="0B0E92DB" w:rsidR="00B27AC9" w:rsidRPr="00B27AC9" w:rsidRDefault="00B27AC9" w:rsidP="00DD65D2">
      <w:pPr>
        <w:spacing w:after="200" w:line="480" w:lineRule="auto"/>
        <w:ind w:firstLine="720"/>
        <w:jc w:val="both"/>
        <w:rPr>
          <w:color w:val="000000"/>
        </w:rPr>
      </w:pPr>
      <w:r w:rsidRPr="00B27AC9">
        <w:rPr>
          <w:rFonts w:ascii="Arial" w:hAnsi="Arial" w:cs="Arial"/>
          <w:color w:val="000000"/>
        </w:rPr>
        <w:lastRenderedPageBreak/>
        <w:t xml:space="preserve">O parafuso S2AI permite alta resistência ao </w:t>
      </w:r>
      <w:proofErr w:type="spellStart"/>
      <w:r w:rsidRPr="00B27AC9">
        <w:rPr>
          <w:rFonts w:ascii="Arial" w:hAnsi="Arial" w:cs="Arial"/>
          <w:color w:val="000000"/>
        </w:rPr>
        <w:t>arrancamento</w:t>
      </w:r>
      <w:proofErr w:type="spellEnd"/>
      <w:r w:rsidRPr="00B27AC9">
        <w:rPr>
          <w:rFonts w:ascii="Arial" w:hAnsi="Arial" w:cs="Arial"/>
          <w:color w:val="000000"/>
        </w:rPr>
        <w:t xml:space="preserve">, exigindo menor dissecção da musculatura </w:t>
      </w:r>
      <w:proofErr w:type="spellStart"/>
      <w:r w:rsidRPr="00B27AC9">
        <w:rPr>
          <w:rFonts w:ascii="Arial" w:hAnsi="Arial" w:cs="Arial"/>
          <w:color w:val="000000"/>
        </w:rPr>
        <w:t>paraespinhal</w:t>
      </w:r>
      <w:proofErr w:type="spellEnd"/>
      <w:r w:rsidRPr="00B27AC9">
        <w:rPr>
          <w:rFonts w:ascii="Arial" w:hAnsi="Arial" w:cs="Arial"/>
          <w:color w:val="000000"/>
        </w:rPr>
        <w:t xml:space="preserve"> e posicionamento alinhado com os demais parafusos (11). Além disso, com essa técnica, há baixo índice de proeminência cutânea, </w:t>
      </w:r>
      <w:proofErr w:type="spellStart"/>
      <w:r w:rsidRPr="00B27AC9">
        <w:rPr>
          <w:rFonts w:ascii="Arial" w:hAnsi="Arial" w:cs="Arial"/>
          <w:color w:val="000000"/>
        </w:rPr>
        <w:t>pseudoartrose</w:t>
      </w:r>
      <w:proofErr w:type="spellEnd"/>
      <w:r w:rsidRPr="00B27AC9">
        <w:rPr>
          <w:rFonts w:ascii="Arial" w:hAnsi="Arial" w:cs="Arial"/>
          <w:color w:val="000000"/>
        </w:rPr>
        <w:t xml:space="preserve"> e estresse mecânico em S1 (11,12).</w:t>
      </w:r>
    </w:p>
    <w:p w14:paraId="271C765C" w14:textId="77777777" w:rsidR="00B27AC9" w:rsidRPr="00B27AC9" w:rsidRDefault="00B27AC9" w:rsidP="00B27AC9">
      <w:pPr>
        <w:spacing w:after="200" w:line="480" w:lineRule="auto"/>
        <w:ind w:firstLine="720"/>
        <w:jc w:val="both"/>
        <w:rPr>
          <w:color w:val="000000"/>
        </w:rPr>
      </w:pPr>
      <w:r w:rsidRPr="00B27AC9">
        <w:rPr>
          <w:rFonts w:ascii="Arial" w:hAnsi="Arial" w:cs="Arial"/>
          <w:color w:val="202124"/>
        </w:rPr>
        <w:t xml:space="preserve">As principais complicações associadas à instrumentação </w:t>
      </w:r>
      <w:proofErr w:type="spellStart"/>
      <w:r w:rsidRPr="00B27AC9">
        <w:rPr>
          <w:rFonts w:ascii="Arial" w:hAnsi="Arial" w:cs="Arial"/>
          <w:color w:val="202124"/>
        </w:rPr>
        <w:t>lombopélvica</w:t>
      </w:r>
      <w:proofErr w:type="spellEnd"/>
      <w:r w:rsidRPr="00B27AC9">
        <w:rPr>
          <w:rFonts w:ascii="Arial" w:hAnsi="Arial" w:cs="Arial"/>
          <w:color w:val="202124"/>
        </w:rPr>
        <w:t xml:space="preserve"> são: falha dos implantes (quebra ou soltura dos parafusos ou das hastes), proeminência do material de síntese, </w:t>
      </w:r>
      <w:proofErr w:type="spellStart"/>
      <w:r w:rsidRPr="00B27AC9">
        <w:rPr>
          <w:rFonts w:ascii="Arial" w:hAnsi="Arial" w:cs="Arial"/>
          <w:color w:val="202124"/>
        </w:rPr>
        <w:t>pseudoartrose</w:t>
      </w:r>
      <w:proofErr w:type="spellEnd"/>
      <w:r w:rsidRPr="00B27AC9">
        <w:rPr>
          <w:rFonts w:ascii="Arial" w:hAnsi="Arial" w:cs="Arial"/>
          <w:color w:val="202124"/>
        </w:rPr>
        <w:t xml:space="preserve"> e infecção pós-operatória. Em uma revisão sistemática que compara as complicações do parafuso do ilíaco com o parafuso de S2-alar-ilíaco, Gao Z et al observaram taxas de complicações significativamente menores no grupo de pacientes que utilizou o parafuso de S2AI. Além disso, houve uma melhor correção da OP neste grupo, considerando a faixa </w:t>
      </w:r>
      <w:proofErr w:type="gramStart"/>
      <w:r w:rsidRPr="00B27AC9">
        <w:rPr>
          <w:rFonts w:ascii="Arial" w:hAnsi="Arial" w:cs="Arial"/>
          <w:color w:val="202124"/>
        </w:rPr>
        <w:t>pediátrica(</w:t>
      </w:r>
      <w:proofErr w:type="gramEnd"/>
      <w:r w:rsidRPr="00B27AC9">
        <w:rPr>
          <w:rFonts w:ascii="Arial" w:hAnsi="Arial" w:cs="Arial"/>
          <w:color w:val="202124"/>
        </w:rPr>
        <w:t>16).</w:t>
      </w:r>
    </w:p>
    <w:p w14:paraId="09F5737A" w14:textId="75E12ECA" w:rsidR="00B27AC9" w:rsidRPr="00B27AC9" w:rsidRDefault="00B27AC9" w:rsidP="00B27AC9">
      <w:pPr>
        <w:spacing w:after="200" w:line="480" w:lineRule="auto"/>
        <w:ind w:firstLine="720"/>
        <w:jc w:val="both"/>
        <w:rPr>
          <w:color w:val="000000"/>
        </w:rPr>
      </w:pPr>
      <w:r w:rsidRPr="00B27AC9">
        <w:rPr>
          <w:rFonts w:ascii="Arial" w:hAnsi="Arial" w:cs="Arial"/>
          <w:color w:val="202124"/>
        </w:rPr>
        <w:t xml:space="preserve">Portanto, o presente estudo tem como objetivo analisar os aspectos clínicos e radiológicos da técnica do parafuso S2AI em pacientes com escoliose neuromuscular submetidos à cirurgia de correção de deformidade da coluna com auxílio de navegação </w:t>
      </w:r>
      <w:proofErr w:type="spellStart"/>
      <w:r w:rsidRPr="00B27AC9">
        <w:rPr>
          <w:rFonts w:ascii="Arial" w:hAnsi="Arial" w:cs="Arial"/>
          <w:color w:val="202124"/>
        </w:rPr>
        <w:t>intraoperatória</w:t>
      </w:r>
      <w:proofErr w:type="spellEnd"/>
      <w:r w:rsidRPr="00B27AC9">
        <w:rPr>
          <w:rFonts w:ascii="Arial" w:hAnsi="Arial" w:cs="Arial"/>
          <w:color w:val="202124"/>
        </w:rPr>
        <w:t xml:space="preserve"> em um centro de referência.</w:t>
      </w:r>
    </w:p>
    <w:p w14:paraId="285BD0CF" w14:textId="77777777" w:rsidR="00B27AC9" w:rsidRPr="00B27AC9" w:rsidRDefault="00B27AC9" w:rsidP="00B27AC9">
      <w:pPr>
        <w:spacing w:after="200" w:line="480" w:lineRule="auto"/>
        <w:jc w:val="both"/>
        <w:rPr>
          <w:color w:val="000000"/>
        </w:rPr>
      </w:pPr>
      <w:r w:rsidRPr="00B27AC9">
        <w:rPr>
          <w:rFonts w:ascii="Arial" w:hAnsi="Arial" w:cs="Arial"/>
          <w:b/>
          <w:bCs/>
          <w:color w:val="000000"/>
        </w:rPr>
        <w:t>MÉTODOS</w:t>
      </w:r>
    </w:p>
    <w:p w14:paraId="65666598" w14:textId="5665D905" w:rsidR="00B27AC9" w:rsidRPr="00B27AC9" w:rsidRDefault="00B27AC9" w:rsidP="00B27AC9">
      <w:pPr>
        <w:shd w:val="clear" w:color="auto" w:fill="FFFFFF"/>
        <w:spacing w:line="480" w:lineRule="auto"/>
        <w:jc w:val="both"/>
        <w:rPr>
          <w:color w:val="000000"/>
        </w:rPr>
      </w:pPr>
      <w:r w:rsidRPr="00B27AC9">
        <w:rPr>
          <w:rFonts w:ascii="Arial" w:hAnsi="Arial" w:cs="Arial"/>
          <w:color w:val="212121"/>
        </w:rPr>
        <w:tab/>
        <w:t xml:space="preserve">O estudo compreende uma análise retrospectiva de prontuários de pacientes que foram submetidos a cirurgia de correção de escoliose neuromuscular com técnica S2-alar-ilíaco entre o período de janeiro de 2017 até março de 2020. Foram coletadas e analisadas as informações clínicas da evolução pós-cirúrgica </w:t>
      </w:r>
      <w:proofErr w:type="spellStart"/>
      <w:r w:rsidRPr="00B27AC9">
        <w:rPr>
          <w:rFonts w:ascii="Arial" w:hAnsi="Arial" w:cs="Arial"/>
          <w:color w:val="212121"/>
        </w:rPr>
        <w:t>intra-hospitalar</w:t>
      </w:r>
      <w:proofErr w:type="spellEnd"/>
      <w:r w:rsidRPr="00B27AC9">
        <w:rPr>
          <w:rFonts w:ascii="Arial" w:hAnsi="Arial" w:cs="Arial"/>
          <w:color w:val="212121"/>
        </w:rPr>
        <w:t xml:space="preserve"> e ambulatorial, como também de imagens realizadas no controle pós-operatório desses pacientes. Foram analisadas as </w:t>
      </w:r>
      <w:r w:rsidRPr="00B27AC9">
        <w:rPr>
          <w:rFonts w:ascii="Arial" w:hAnsi="Arial" w:cs="Arial"/>
          <w:color w:val="212121"/>
        </w:rPr>
        <w:lastRenderedPageBreak/>
        <w:t>radiografias</w:t>
      </w:r>
      <w:r>
        <w:rPr>
          <w:rFonts w:ascii="Arial" w:hAnsi="Arial" w:cs="Arial"/>
          <w:color w:val="212121"/>
        </w:rPr>
        <w:t xml:space="preserve"> </w:t>
      </w:r>
      <w:r w:rsidRPr="00B27AC9">
        <w:rPr>
          <w:rFonts w:ascii="Arial" w:hAnsi="Arial" w:cs="Arial"/>
          <w:color w:val="212121"/>
        </w:rPr>
        <w:t>(RX) e tomografias (TC) realizadas no pré-operatório, pós-operatório imediato e a última radiografia do segmento. </w:t>
      </w:r>
    </w:p>
    <w:p w14:paraId="2454749A" w14:textId="77777777" w:rsidR="00B27AC9" w:rsidRPr="00B27AC9" w:rsidRDefault="00B27AC9" w:rsidP="00B27AC9">
      <w:pPr>
        <w:shd w:val="clear" w:color="auto" w:fill="FFFFFF"/>
        <w:spacing w:line="480" w:lineRule="auto"/>
        <w:jc w:val="both"/>
        <w:rPr>
          <w:color w:val="000000"/>
        </w:rPr>
      </w:pPr>
      <w:r w:rsidRPr="00B27AC9">
        <w:rPr>
          <w:rFonts w:ascii="Arial" w:hAnsi="Arial" w:cs="Arial"/>
          <w:color w:val="212121"/>
        </w:rPr>
        <w:tab/>
        <w:t>Critérios de inclusão: pacientes submetidos a cirurgias para correção de escoliose neuromuscular com técnica S2-alar-ilíaco, com seguimento ambulatorial de pelo menos 1 ano e imagens de controle pós-operatório (TC e/ou RX). Critérios de exclusão: registros incompletos.</w:t>
      </w:r>
    </w:p>
    <w:p w14:paraId="5709FF80" w14:textId="77777777" w:rsidR="00B27AC9" w:rsidRPr="00B27AC9" w:rsidRDefault="00B27AC9" w:rsidP="00B27AC9">
      <w:pPr>
        <w:shd w:val="clear" w:color="auto" w:fill="FFFFFF"/>
        <w:spacing w:line="480" w:lineRule="auto"/>
        <w:jc w:val="both"/>
        <w:rPr>
          <w:color w:val="000000"/>
        </w:rPr>
      </w:pPr>
      <w:r w:rsidRPr="00B27AC9">
        <w:rPr>
          <w:rFonts w:ascii="Arial" w:hAnsi="Arial" w:cs="Arial"/>
          <w:color w:val="212121"/>
        </w:rPr>
        <w:tab/>
        <w:t xml:space="preserve">As medidas foram obtidas de forma independente por dois examinadores com níveis de experiência similares. Os dados analisados foram: idade; sexo; patologia de base; tipo de curva; parâmetros radiológicos </w:t>
      </w:r>
      <w:proofErr w:type="spellStart"/>
      <w:r w:rsidRPr="00B27AC9">
        <w:rPr>
          <w:rFonts w:ascii="Arial" w:hAnsi="Arial" w:cs="Arial"/>
          <w:color w:val="212121"/>
        </w:rPr>
        <w:t>pré</w:t>
      </w:r>
      <w:proofErr w:type="spellEnd"/>
      <w:r w:rsidRPr="00B27AC9">
        <w:rPr>
          <w:rFonts w:ascii="Arial" w:hAnsi="Arial" w:cs="Arial"/>
          <w:color w:val="212121"/>
        </w:rPr>
        <w:t xml:space="preserve"> e pós-operatórios (obliquidade pélvica, ângulo de </w:t>
      </w:r>
      <w:proofErr w:type="spellStart"/>
      <w:r w:rsidRPr="00B27AC9">
        <w:rPr>
          <w:rFonts w:ascii="Arial" w:hAnsi="Arial" w:cs="Arial"/>
          <w:color w:val="212121"/>
        </w:rPr>
        <w:t>cobb</w:t>
      </w:r>
      <w:proofErr w:type="spellEnd"/>
      <w:r w:rsidRPr="00B27AC9">
        <w:rPr>
          <w:rFonts w:ascii="Arial" w:hAnsi="Arial" w:cs="Arial"/>
          <w:color w:val="212121"/>
        </w:rPr>
        <w:t xml:space="preserve"> da curva principal, cifose torácica ou </w:t>
      </w:r>
      <w:proofErr w:type="spellStart"/>
      <w:r w:rsidRPr="00B27AC9">
        <w:rPr>
          <w:rFonts w:ascii="Arial" w:hAnsi="Arial" w:cs="Arial"/>
          <w:color w:val="212121"/>
        </w:rPr>
        <w:t>toracolombar</w:t>
      </w:r>
      <w:proofErr w:type="spellEnd"/>
      <w:r w:rsidRPr="00B27AC9">
        <w:rPr>
          <w:rFonts w:ascii="Arial" w:hAnsi="Arial" w:cs="Arial"/>
          <w:color w:val="212121"/>
        </w:rPr>
        <w:t xml:space="preserve">, lordose lombar, porcentagem de correção da escoliose e da obliquidade pélvica, densidade de parafusos); tempo cirúrgico; perda sanguínea estimada; utilização de </w:t>
      </w:r>
      <w:proofErr w:type="spellStart"/>
      <w:r w:rsidRPr="00B27AC9">
        <w:rPr>
          <w:rFonts w:ascii="Arial" w:hAnsi="Arial" w:cs="Arial"/>
          <w:color w:val="212121"/>
        </w:rPr>
        <w:t>hemocomponentes</w:t>
      </w:r>
      <w:proofErr w:type="spellEnd"/>
      <w:r w:rsidRPr="00B27AC9">
        <w:rPr>
          <w:rFonts w:ascii="Arial" w:hAnsi="Arial" w:cs="Arial"/>
          <w:color w:val="212121"/>
        </w:rPr>
        <w:t xml:space="preserve"> </w:t>
      </w:r>
      <w:proofErr w:type="spellStart"/>
      <w:r w:rsidRPr="00B27AC9">
        <w:rPr>
          <w:rFonts w:ascii="Arial" w:hAnsi="Arial" w:cs="Arial"/>
          <w:color w:val="212121"/>
        </w:rPr>
        <w:t>intra-operatório</w:t>
      </w:r>
      <w:proofErr w:type="spellEnd"/>
      <w:r w:rsidRPr="00B27AC9">
        <w:rPr>
          <w:rFonts w:ascii="Arial" w:hAnsi="Arial" w:cs="Arial"/>
          <w:color w:val="212121"/>
        </w:rPr>
        <w:t xml:space="preserve">; extensão da artrodese (quantidade de níveis </w:t>
      </w:r>
      <w:proofErr w:type="spellStart"/>
      <w:r w:rsidRPr="00B27AC9">
        <w:rPr>
          <w:rFonts w:ascii="Arial" w:hAnsi="Arial" w:cs="Arial"/>
          <w:color w:val="212121"/>
        </w:rPr>
        <w:t>artrodesados</w:t>
      </w:r>
      <w:proofErr w:type="spellEnd"/>
      <w:r w:rsidRPr="00B27AC9">
        <w:rPr>
          <w:rFonts w:ascii="Arial" w:hAnsi="Arial" w:cs="Arial"/>
          <w:color w:val="212121"/>
        </w:rPr>
        <w:t xml:space="preserve">); comprimento e diâmetro do parafuso de S2; presença de fístula liquórica, infecção no pós-operatório; novos déficits neurológicos pós-operatórios; tempo de permanência no </w:t>
      </w:r>
      <w:proofErr w:type="spellStart"/>
      <w:r w:rsidRPr="00B27AC9">
        <w:rPr>
          <w:rFonts w:ascii="Arial" w:hAnsi="Arial" w:cs="Arial"/>
          <w:color w:val="212121"/>
        </w:rPr>
        <w:t>hopsital</w:t>
      </w:r>
      <w:proofErr w:type="spellEnd"/>
      <w:r w:rsidRPr="00B27AC9">
        <w:rPr>
          <w:rFonts w:ascii="Arial" w:hAnsi="Arial" w:cs="Arial"/>
          <w:color w:val="212121"/>
        </w:rPr>
        <w:t xml:space="preserve"> e na unidade de cuidados intensivos; tempo de dreno e volume da drenagem e quebra ou falha dos parafusos ou hastes.</w:t>
      </w:r>
    </w:p>
    <w:p w14:paraId="32B7FB5F" w14:textId="1AF83458" w:rsidR="00B27AC9" w:rsidRPr="00B27AC9" w:rsidRDefault="00B27AC9" w:rsidP="00B27AC9">
      <w:pPr>
        <w:shd w:val="clear" w:color="auto" w:fill="FFFFFF"/>
        <w:spacing w:line="480" w:lineRule="auto"/>
        <w:jc w:val="both"/>
        <w:rPr>
          <w:color w:val="000000"/>
        </w:rPr>
      </w:pPr>
      <w:r w:rsidRPr="00B27AC9">
        <w:rPr>
          <w:rFonts w:ascii="Arial" w:hAnsi="Arial" w:cs="Arial"/>
          <w:color w:val="212121"/>
        </w:rPr>
        <w:t> </w:t>
      </w:r>
      <w:r w:rsidRPr="00B27AC9">
        <w:rPr>
          <w:rFonts w:ascii="Arial" w:hAnsi="Arial" w:cs="Arial"/>
          <w:color w:val="212121"/>
        </w:rPr>
        <w:tab/>
        <w:t xml:space="preserve">Os dados contínuos foram descritos pela média e seu respectivo desvio padrão (DP) e intervalo de confiança de 95% (IC95%), e os dados categóricos foram descritos pela frequência absoluta e respectiva proporção categórica. </w:t>
      </w:r>
      <w:r w:rsidRPr="00B27AC9">
        <w:rPr>
          <w:rFonts w:ascii="Arial" w:hAnsi="Arial" w:cs="Arial"/>
          <w:color w:val="202124"/>
          <w:shd w:val="clear" w:color="auto" w:fill="FFFFFF"/>
        </w:rPr>
        <w:t xml:space="preserve">Para fazer as comparações das variáveis com a densidade de parafusos da curva e perda de obliquidade pélvica foram utilizados o Teste t de </w:t>
      </w:r>
      <w:proofErr w:type="spellStart"/>
      <w:r w:rsidRPr="00B27AC9">
        <w:rPr>
          <w:rFonts w:ascii="Arial" w:hAnsi="Arial" w:cs="Arial"/>
          <w:color w:val="202124"/>
          <w:shd w:val="clear" w:color="auto" w:fill="FFFFFF"/>
        </w:rPr>
        <w:t>Student</w:t>
      </w:r>
      <w:proofErr w:type="spellEnd"/>
      <w:r w:rsidRPr="00B27AC9">
        <w:rPr>
          <w:rFonts w:ascii="Arial" w:hAnsi="Arial" w:cs="Arial"/>
          <w:color w:val="202124"/>
          <w:shd w:val="clear" w:color="auto" w:fill="FFFFFF"/>
        </w:rPr>
        <w:t xml:space="preserve">, o Teste </w:t>
      </w:r>
      <w:proofErr w:type="spellStart"/>
      <w:r w:rsidRPr="00B27AC9">
        <w:rPr>
          <w:rFonts w:ascii="Arial" w:hAnsi="Arial" w:cs="Arial"/>
          <w:color w:val="202124"/>
          <w:shd w:val="clear" w:color="auto" w:fill="FFFFFF"/>
        </w:rPr>
        <w:t>Qui</w:t>
      </w:r>
      <w:proofErr w:type="spellEnd"/>
      <w:r w:rsidRPr="00B27AC9">
        <w:rPr>
          <w:rFonts w:ascii="Arial" w:hAnsi="Arial" w:cs="Arial"/>
          <w:color w:val="202124"/>
          <w:shd w:val="clear" w:color="auto" w:fill="FFFFFF"/>
        </w:rPr>
        <w:t>-Quadrado e o Teste Exato de Fisher, quando necessário.</w:t>
      </w:r>
      <w:r w:rsidRPr="00B27AC9">
        <w:rPr>
          <w:rFonts w:ascii="Arial" w:hAnsi="Arial" w:cs="Arial"/>
          <w:color w:val="202124"/>
        </w:rPr>
        <w:t xml:space="preserve"> </w:t>
      </w:r>
      <w:r w:rsidRPr="00B27AC9">
        <w:rPr>
          <w:rFonts w:ascii="Arial" w:hAnsi="Arial" w:cs="Arial"/>
          <w:color w:val="212121"/>
        </w:rPr>
        <w:t xml:space="preserve">Um erro tipo I de até 5% foi aceito como uma diferença estatisticamente significativa. As análises </w:t>
      </w:r>
      <w:r w:rsidRPr="00B27AC9">
        <w:rPr>
          <w:rFonts w:ascii="Arial" w:hAnsi="Arial" w:cs="Arial"/>
          <w:color w:val="212121"/>
        </w:rPr>
        <w:lastRenderedPageBreak/>
        <w:t>estatísticas foram realizadas por um estatístico independente cego aos dados. O trabalho foi aprovado pelo comitê de ética e pesquisa da instituição.</w:t>
      </w:r>
      <w:r w:rsidRPr="00B27AC9">
        <w:rPr>
          <w:color w:val="000000"/>
        </w:rPr>
        <w:t> </w:t>
      </w:r>
    </w:p>
    <w:p w14:paraId="57332B0D" w14:textId="3EFCCD4A" w:rsidR="00B27AC9" w:rsidRPr="00B27AC9" w:rsidRDefault="00B27AC9" w:rsidP="00B27AC9">
      <w:pPr>
        <w:shd w:val="clear" w:color="auto" w:fill="FFFFFF"/>
        <w:spacing w:line="480" w:lineRule="auto"/>
        <w:jc w:val="both"/>
        <w:rPr>
          <w:color w:val="000000"/>
        </w:rPr>
      </w:pPr>
      <w:r w:rsidRPr="00B27AC9">
        <w:rPr>
          <w:rFonts w:ascii="Arial" w:hAnsi="Arial" w:cs="Arial"/>
          <w:b/>
          <w:bCs/>
          <w:color w:val="212121"/>
        </w:rPr>
        <w:t>RESULTADOS</w:t>
      </w:r>
    </w:p>
    <w:p w14:paraId="61076CC2" w14:textId="54A5D2AC" w:rsidR="00B27AC9" w:rsidRPr="00B27AC9" w:rsidRDefault="00B27AC9" w:rsidP="00B27AC9">
      <w:pPr>
        <w:shd w:val="clear" w:color="auto" w:fill="FFFFFF"/>
        <w:spacing w:line="480" w:lineRule="auto"/>
        <w:ind w:firstLine="700"/>
        <w:jc w:val="both"/>
        <w:rPr>
          <w:color w:val="000000"/>
        </w:rPr>
      </w:pPr>
      <w:r w:rsidRPr="00B27AC9">
        <w:rPr>
          <w:rFonts w:ascii="Arial" w:hAnsi="Arial" w:cs="Arial"/>
          <w:color w:val="202124"/>
        </w:rPr>
        <w:t xml:space="preserve">O estudo analisou 35 pacientes com escoliose neuromuscular, sendo 18 (51,4%) do sexo feminino. A média de idade dos pacientes na data da cirurgia foi de 14,9 </w:t>
      </w:r>
      <w:r w:rsidRPr="00B27AC9">
        <w:rPr>
          <w:rFonts w:ascii="Arial" w:hAnsi="Arial" w:cs="Arial"/>
          <w:color w:val="202124"/>
          <w:shd w:val="clear" w:color="auto" w:fill="FFFFFF"/>
        </w:rPr>
        <w:t>± 4,0</w:t>
      </w:r>
      <w:r w:rsidRPr="00B27AC9">
        <w:rPr>
          <w:rFonts w:ascii="Arial" w:hAnsi="Arial" w:cs="Arial"/>
          <w:color w:val="202124"/>
        </w:rPr>
        <w:t xml:space="preserve"> anos. A maior parte da amostra (62,9%) apresentava índice de massa corporal na categoria de baixo peso. A </w:t>
      </w:r>
      <w:proofErr w:type="spellStart"/>
      <w:r w:rsidRPr="00B27AC9">
        <w:rPr>
          <w:rFonts w:ascii="Arial" w:hAnsi="Arial" w:cs="Arial"/>
          <w:color w:val="202124"/>
        </w:rPr>
        <w:t>mielomeningocele</w:t>
      </w:r>
      <w:proofErr w:type="spellEnd"/>
      <w:r w:rsidRPr="00B27AC9">
        <w:rPr>
          <w:rFonts w:ascii="Arial" w:hAnsi="Arial" w:cs="Arial"/>
          <w:color w:val="202124"/>
        </w:rPr>
        <w:t xml:space="preserve"> foi a principal etiologia, 13 casos (37%), das deformidades neuromusculares na amostra. Todos os pacientes eram não deambuladores. O tempo médio de seguimento pós-operatório foi de 21,4 </w:t>
      </w:r>
      <w:r w:rsidRPr="00B27AC9">
        <w:rPr>
          <w:rFonts w:ascii="Arial" w:hAnsi="Arial" w:cs="Arial"/>
          <w:color w:val="202124"/>
          <w:shd w:val="clear" w:color="auto" w:fill="FFFFFF"/>
        </w:rPr>
        <w:t>±10,3</w:t>
      </w:r>
      <w:r w:rsidRPr="00B27AC9">
        <w:rPr>
          <w:rFonts w:ascii="Arial" w:hAnsi="Arial" w:cs="Arial"/>
          <w:color w:val="202124"/>
        </w:rPr>
        <w:t xml:space="preserve"> meses.</w:t>
      </w:r>
      <w:r w:rsidR="00D37FA4">
        <w:rPr>
          <w:rFonts w:ascii="Arial" w:hAnsi="Arial" w:cs="Arial"/>
          <w:color w:val="202124"/>
        </w:rPr>
        <w:t xml:space="preserve"> (Tabela 1)</w:t>
      </w:r>
    </w:p>
    <w:p w14:paraId="74E442EA" w14:textId="678E2EC9" w:rsidR="00B27AC9" w:rsidRPr="00B27AC9" w:rsidRDefault="00B27AC9" w:rsidP="00B27AC9">
      <w:pPr>
        <w:shd w:val="clear" w:color="auto" w:fill="FFFFFF"/>
        <w:spacing w:line="480" w:lineRule="auto"/>
        <w:ind w:firstLine="700"/>
        <w:jc w:val="both"/>
        <w:rPr>
          <w:color w:val="000000"/>
        </w:rPr>
      </w:pPr>
      <w:r w:rsidRPr="00B27AC9">
        <w:rPr>
          <w:rFonts w:ascii="Arial" w:hAnsi="Arial" w:cs="Arial"/>
          <w:color w:val="202124"/>
        </w:rPr>
        <w:t xml:space="preserve">A média da curva coronal pré-operatória foi de 100° </w:t>
      </w:r>
      <w:r w:rsidRPr="00B27AC9">
        <w:rPr>
          <w:rFonts w:ascii="Arial" w:hAnsi="Arial" w:cs="Arial"/>
          <w:color w:val="202124"/>
          <w:shd w:val="clear" w:color="auto" w:fill="FFFFFF"/>
        </w:rPr>
        <w:t>± 26,2. No pós-operatório obteve-se uma correção média de 55% ± 16,3, com uma média da curva coronal de 44,8</w:t>
      </w:r>
      <w:r w:rsidRPr="00B27AC9">
        <w:rPr>
          <w:rFonts w:ascii="Arial" w:hAnsi="Arial" w:cs="Arial"/>
          <w:color w:val="202124"/>
        </w:rPr>
        <w:t>°</w:t>
      </w:r>
      <w:r w:rsidRPr="00B27AC9">
        <w:rPr>
          <w:rFonts w:ascii="Arial" w:hAnsi="Arial" w:cs="Arial"/>
          <w:color w:val="202124"/>
          <w:shd w:val="clear" w:color="auto" w:fill="FFFFFF"/>
        </w:rPr>
        <w:t xml:space="preserve">± 19,5 ao final da cirurgia e de 45° ± 19,6 ao final do seguimento. A obliquidade pélvica média </w:t>
      </w:r>
      <w:r w:rsidRPr="00B27AC9">
        <w:rPr>
          <w:rFonts w:ascii="Arial" w:hAnsi="Arial" w:cs="Arial"/>
          <w:color w:val="202124"/>
        </w:rPr>
        <w:t>pré-operatória foi de 27,9°</w:t>
      </w:r>
      <w:r w:rsidRPr="00B27AC9">
        <w:rPr>
          <w:rFonts w:ascii="Arial" w:hAnsi="Arial" w:cs="Arial"/>
          <w:color w:val="202124"/>
          <w:shd w:val="clear" w:color="auto" w:fill="FFFFFF"/>
        </w:rPr>
        <w:t>± 10,9, com uma taxa de correção de 66,1% ± 27,6, sendo de 8,2</w:t>
      </w:r>
      <w:r w:rsidRPr="00B27AC9">
        <w:rPr>
          <w:rFonts w:ascii="Arial" w:hAnsi="Arial" w:cs="Arial"/>
          <w:color w:val="202124"/>
        </w:rPr>
        <w:t xml:space="preserve">° </w:t>
      </w:r>
      <w:r w:rsidRPr="00B27AC9">
        <w:rPr>
          <w:rFonts w:ascii="Arial" w:hAnsi="Arial" w:cs="Arial"/>
          <w:color w:val="202124"/>
          <w:shd w:val="clear" w:color="auto" w:fill="FFFFFF"/>
        </w:rPr>
        <w:t>± 5,4 ao final da cirurgia e de 9,4°± 7,0 ao final do seguimento.</w:t>
      </w:r>
      <w:r w:rsidR="002339DB">
        <w:rPr>
          <w:rFonts w:ascii="Arial" w:hAnsi="Arial" w:cs="Arial"/>
          <w:color w:val="202124"/>
          <w:shd w:val="clear" w:color="auto" w:fill="FFFFFF"/>
        </w:rPr>
        <w:t xml:space="preserve"> (Tabela 2)</w:t>
      </w:r>
    </w:p>
    <w:p w14:paraId="73E7EF2F" w14:textId="77777777" w:rsidR="00B27AC9" w:rsidRPr="00B27AC9" w:rsidRDefault="00B27AC9" w:rsidP="00B27AC9">
      <w:pPr>
        <w:shd w:val="clear" w:color="auto" w:fill="FFFFFF"/>
        <w:spacing w:line="480" w:lineRule="auto"/>
        <w:ind w:firstLine="700"/>
        <w:jc w:val="both"/>
        <w:rPr>
          <w:color w:val="000000"/>
        </w:rPr>
      </w:pPr>
      <w:r w:rsidRPr="00B27AC9">
        <w:rPr>
          <w:rFonts w:ascii="Arial" w:hAnsi="Arial" w:cs="Arial"/>
          <w:color w:val="202124"/>
          <w:shd w:val="clear" w:color="auto" w:fill="FFFFFF"/>
        </w:rPr>
        <w:t>Em relação aos aspectos cirúrgicos, a média de níveis operados foi de 17,3± 0,7. Todos os 70 parafusos de S2 apresentavam diâmetro de 7mm, tendo o parafuso do lado côncavo da curva lombar (local de maior ascensão da pelve) um comprimento médio de 75,3 ± 10,1 mm e o do lado convexo da curva lombar um comprimento médio de 71,8 ± 14,9 mm.</w:t>
      </w:r>
    </w:p>
    <w:p w14:paraId="395B6EE8" w14:textId="48357F15" w:rsidR="0019606E" w:rsidRDefault="00B27AC9" w:rsidP="0019606E">
      <w:pPr>
        <w:shd w:val="clear" w:color="auto" w:fill="FFFFFF"/>
        <w:spacing w:line="480" w:lineRule="auto"/>
        <w:ind w:firstLine="700"/>
        <w:jc w:val="both"/>
        <w:rPr>
          <w:color w:val="000000"/>
        </w:rPr>
      </w:pPr>
      <w:r w:rsidRPr="00B27AC9">
        <w:rPr>
          <w:rFonts w:ascii="Arial" w:hAnsi="Arial" w:cs="Arial"/>
          <w:color w:val="202124"/>
          <w:shd w:val="clear" w:color="auto" w:fill="FFFFFF"/>
        </w:rPr>
        <w:t xml:space="preserve">O tempo médio de duração das cirurgias foi 416 ± 86 minutos, com estimativa média de sangramento </w:t>
      </w:r>
      <w:proofErr w:type="spellStart"/>
      <w:r w:rsidRPr="00B27AC9">
        <w:rPr>
          <w:rFonts w:ascii="Arial" w:hAnsi="Arial" w:cs="Arial"/>
          <w:color w:val="202124"/>
          <w:shd w:val="clear" w:color="auto" w:fill="FFFFFF"/>
        </w:rPr>
        <w:t>intraoperatório</w:t>
      </w:r>
      <w:proofErr w:type="spellEnd"/>
      <w:r w:rsidRPr="00B27AC9">
        <w:rPr>
          <w:rFonts w:ascii="Arial" w:hAnsi="Arial" w:cs="Arial"/>
          <w:color w:val="202124"/>
          <w:shd w:val="clear" w:color="auto" w:fill="FFFFFF"/>
        </w:rPr>
        <w:t xml:space="preserve"> de 921</w:t>
      </w:r>
      <w:r w:rsidR="00D72EC7">
        <w:rPr>
          <w:rFonts w:ascii="Arial" w:hAnsi="Arial" w:cs="Arial"/>
          <w:color w:val="202124"/>
          <w:shd w:val="clear" w:color="auto" w:fill="FFFFFF"/>
        </w:rPr>
        <w:t xml:space="preserve"> </w:t>
      </w:r>
      <w:r w:rsidR="00D72EC7" w:rsidRPr="00B27AC9">
        <w:rPr>
          <w:rFonts w:ascii="Arial" w:hAnsi="Arial" w:cs="Arial"/>
          <w:color w:val="202124"/>
          <w:shd w:val="clear" w:color="auto" w:fill="FFFFFF"/>
        </w:rPr>
        <w:t>±</w:t>
      </w:r>
      <w:r w:rsidR="00D72EC7">
        <w:rPr>
          <w:rFonts w:ascii="Arial" w:hAnsi="Arial" w:cs="Arial"/>
          <w:color w:val="202124"/>
          <w:shd w:val="clear" w:color="auto" w:fill="FFFFFF"/>
        </w:rPr>
        <w:t xml:space="preserve"> 394,1</w:t>
      </w:r>
      <w:r w:rsidRPr="00B27AC9">
        <w:rPr>
          <w:rFonts w:ascii="Arial" w:hAnsi="Arial" w:cs="Arial"/>
          <w:color w:val="202124"/>
          <w:shd w:val="clear" w:color="auto" w:fill="FFFFFF"/>
        </w:rPr>
        <w:t xml:space="preserve"> ml, havendo necessidade de transfusão sanguínea em 5 pacientes (14,3%). O tempo de internação hospitalar foi de 21,6 ±10,3 dias e de permanência em unidade de </w:t>
      </w:r>
      <w:r w:rsidRPr="00B27AC9">
        <w:rPr>
          <w:rFonts w:ascii="Arial" w:hAnsi="Arial" w:cs="Arial"/>
          <w:color w:val="202124"/>
          <w:shd w:val="clear" w:color="auto" w:fill="FFFFFF"/>
        </w:rPr>
        <w:lastRenderedPageBreak/>
        <w:t>terapia intensiva de 1,2 ± 0,6 dias. Foi observado infecção de ferida operatória em 3 casos (8,6%). Houve quebra de haste em 2 casos (5,7%), soltura da haste em 1 caso (2,9%) e quebra do parafuso de S2 em 3 casos (8,6%).</w:t>
      </w:r>
      <w:r w:rsidR="0019606E">
        <w:rPr>
          <w:rFonts w:ascii="Arial" w:hAnsi="Arial" w:cs="Arial"/>
          <w:color w:val="202124"/>
          <w:shd w:val="clear" w:color="auto" w:fill="FFFFFF"/>
        </w:rPr>
        <w:t xml:space="preserve"> </w:t>
      </w:r>
      <w:r w:rsidR="0019606E">
        <w:rPr>
          <w:rFonts w:ascii="Arial" w:hAnsi="Arial" w:cs="Arial"/>
          <w:color w:val="202124"/>
          <w:shd w:val="clear" w:color="auto" w:fill="FFFFFF"/>
        </w:rPr>
        <w:t>Não houve casos de fístula liquórica ou de piora do quadro neurológico após a cirurgia. (Tabela 3)</w:t>
      </w:r>
    </w:p>
    <w:p w14:paraId="77BA651B" w14:textId="41C8C2E1" w:rsidR="00B27AC9" w:rsidRPr="00B27AC9" w:rsidRDefault="00B27AC9" w:rsidP="0019606E">
      <w:pPr>
        <w:shd w:val="clear" w:color="auto" w:fill="FFFFFF"/>
        <w:spacing w:line="480" w:lineRule="auto"/>
        <w:ind w:firstLine="700"/>
        <w:jc w:val="both"/>
        <w:rPr>
          <w:color w:val="000000"/>
        </w:rPr>
      </w:pPr>
      <w:r w:rsidRPr="00B27AC9">
        <w:rPr>
          <w:rFonts w:ascii="Arial" w:hAnsi="Arial" w:cs="Arial"/>
          <w:color w:val="202124"/>
          <w:shd w:val="clear" w:color="auto" w:fill="FFFFFF"/>
        </w:rPr>
        <w:t xml:space="preserve">A densidade média de parafusos da amostra foi de 1.3 ± 0.2 parafusos por nível e a densidade média na coluna </w:t>
      </w:r>
      <w:proofErr w:type="spellStart"/>
      <w:r w:rsidRPr="00B27AC9">
        <w:rPr>
          <w:rFonts w:ascii="Arial" w:hAnsi="Arial" w:cs="Arial"/>
          <w:color w:val="202124"/>
          <w:shd w:val="clear" w:color="auto" w:fill="FFFFFF"/>
        </w:rPr>
        <w:t>lombossacra</w:t>
      </w:r>
      <w:proofErr w:type="spellEnd"/>
      <w:r w:rsidRPr="00B27AC9">
        <w:rPr>
          <w:rFonts w:ascii="Arial" w:hAnsi="Arial" w:cs="Arial"/>
          <w:color w:val="202124"/>
          <w:shd w:val="clear" w:color="auto" w:fill="FFFFFF"/>
        </w:rPr>
        <w:t xml:space="preserve"> de 1,5 ± 0,2. Por se tratar de pacientes não deambuladores com curvas eminentemente lombares e </w:t>
      </w:r>
      <w:proofErr w:type="gramStart"/>
      <w:r w:rsidRPr="00B27AC9">
        <w:rPr>
          <w:rFonts w:ascii="Arial" w:hAnsi="Arial" w:cs="Arial"/>
          <w:color w:val="202124"/>
          <w:shd w:val="clear" w:color="auto" w:fill="FFFFFF"/>
        </w:rPr>
        <w:t>um alto grau de</w:t>
      </w:r>
      <w:proofErr w:type="gramEnd"/>
      <w:r w:rsidRPr="00B27AC9">
        <w:rPr>
          <w:rFonts w:ascii="Arial" w:hAnsi="Arial" w:cs="Arial"/>
          <w:color w:val="202124"/>
          <w:shd w:val="clear" w:color="auto" w:fill="FFFFFF"/>
        </w:rPr>
        <w:t xml:space="preserve"> obliquidade pélvica, optamos por avaliar de forma distinta a densidade dos parafusos da coluna lombar, para averiguar se houve influência deste parâmetro nas taxas de correção e complicações das deformidades. Consideramos alta densidade de parafusos aqueles pacientes com densidade acima da média da amostra, que foi de 1,5 parafusos por nível na coluna lombar (</w:t>
      </w:r>
      <w:r w:rsidRPr="00B27AC9">
        <w:rPr>
          <w:rFonts w:ascii="Arial" w:hAnsi="Arial" w:cs="Arial"/>
          <w:color w:val="202124"/>
        </w:rPr>
        <w:t>Figura 1 e 2</w:t>
      </w:r>
      <w:r w:rsidRPr="00B27AC9">
        <w:rPr>
          <w:rFonts w:ascii="Arial" w:hAnsi="Arial" w:cs="Arial"/>
          <w:color w:val="202124"/>
          <w:shd w:val="clear" w:color="auto" w:fill="FFFFFF"/>
        </w:rPr>
        <w:t xml:space="preserve">). Observamos que não houve diferenças significativas em termos de porcentagem de correção da curva, da obliquidade pélvica, nem mesmo da incidência de complicações entre os pacientes com alta e baixa densidade de parafusos na coluna lombar. (Tabela </w:t>
      </w:r>
      <w:r w:rsidR="00D37FA4">
        <w:rPr>
          <w:rFonts w:ascii="Arial" w:hAnsi="Arial" w:cs="Arial"/>
          <w:color w:val="202124"/>
          <w:shd w:val="clear" w:color="auto" w:fill="FFFFFF"/>
        </w:rPr>
        <w:t>4</w:t>
      </w:r>
      <w:r w:rsidRPr="00B27AC9">
        <w:rPr>
          <w:rFonts w:ascii="Arial" w:hAnsi="Arial" w:cs="Arial"/>
          <w:color w:val="202124"/>
          <w:shd w:val="clear" w:color="auto" w:fill="FFFFFF"/>
        </w:rPr>
        <w:t>) </w:t>
      </w:r>
    </w:p>
    <w:p w14:paraId="71A045DF" w14:textId="035C6801" w:rsidR="00B27AC9" w:rsidRPr="00B27AC9" w:rsidRDefault="00B27AC9" w:rsidP="00DD65D2">
      <w:pPr>
        <w:shd w:val="clear" w:color="auto" w:fill="FFFFFF"/>
        <w:spacing w:line="480" w:lineRule="auto"/>
        <w:ind w:firstLine="700"/>
        <w:jc w:val="both"/>
        <w:rPr>
          <w:color w:val="000000"/>
        </w:rPr>
      </w:pPr>
      <w:r w:rsidRPr="00B27AC9">
        <w:rPr>
          <w:rFonts w:ascii="Arial" w:hAnsi="Arial" w:cs="Arial"/>
          <w:color w:val="202124"/>
          <w:shd w:val="clear" w:color="auto" w:fill="FFFFFF"/>
        </w:rPr>
        <w:t xml:space="preserve">Observamos que durante o seguimento, alguns pacientes apresentaram perda da correção da obliquidade pélvica. </w:t>
      </w:r>
      <w:r w:rsidRPr="00B27AC9">
        <w:rPr>
          <w:rFonts w:ascii="Arial" w:hAnsi="Arial" w:cs="Arial"/>
          <w:color w:val="202124"/>
        </w:rPr>
        <w:t>(Figura 5)</w:t>
      </w:r>
      <w:r w:rsidRPr="00B27AC9">
        <w:rPr>
          <w:rFonts w:ascii="Arial" w:hAnsi="Arial" w:cs="Arial"/>
          <w:color w:val="202124"/>
          <w:shd w:val="clear" w:color="auto" w:fill="FFFFFF"/>
        </w:rPr>
        <w:t xml:space="preserve"> O grupo de pacientes que perdeu parte da correção da obliquidade pélvica (n=14) ao final do seguimento apresentava em média 13,8º ± 6,8 de obliquidade, comparado com 6,5º ± 5,6 daqueles que não perderam (p=0,001). Analisando com detalhe estes grupos, observamos que os pacientes que perderam a correção da obliquidade pélvica apresentaram uma diferença significativa na média do comprimento do parafuso de S2AI colocado no lado côncavo da deformidade quando comparados aos </w:t>
      </w:r>
      <w:r w:rsidRPr="00B27AC9">
        <w:rPr>
          <w:rFonts w:ascii="Arial" w:hAnsi="Arial" w:cs="Arial"/>
          <w:color w:val="202124"/>
          <w:shd w:val="clear" w:color="auto" w:fill="FFFFFF"/>
        </w:rPr>
        <w:lastRenderedPageBreak/>
        <w:t xml:space="preserve">pacientes que não perderam obliquidade (71.1 ± 8.1 vs. 78.1 ± 10.5; p =0,043). Não houve diferenças entre os grupos com relação </w:t>
      </w:r>
      <w:proofErr w:type="gramStart"/>
      <w:r w:rsidRPr="00B27AC9">
        <w:rPr>
          <w:rFonts w:ascii="Arial" w:hAnsi="Arial" w:cs="Arial"/>
          <w:color w:val="202124"/>
          <w:shd w:val="clear" w:color="auto" w:fill="FFFFFF"/>
        </w:rPr>
        <w:t>à</w:t>
      </w:r>
      <w:proofErr w:type="gramEnd"/>
      <w:r w:rsidRPr="00B27AC9">
        <w:rPr>
          <w:rFonts w:ascii="Arial" w:hAnsi="Arial" w:cs="Arial"/>
          <w:color w:val="202124"/>
          <w:shd w:val="clear" w:color="auto" w:fill="FFFFFF"/>
        </w:rPr>
        <w:t xml:space="preserve"> complicações biomecânicas secundárias à falha do material de síntese. (Tabela </w:t>
      </w:r>
      <w:r w:rsidR="00D37FA4">
        <w:rPr>
          <w:rFonts w:ascii="Arial" w:hAnsi="Arial" w:cs="Arial"/>
          <w:color w:val="202124"/>
          <w:shd w:val="clear" w:color="auto" w:fill="FFFFFF"/>
        </w:rPr>
        <w:t>5</w:t>
      </w:r>
      <w:r w:rsidRPr="00B27AC9">
        <w:rPr>
          <w:rFonts w:ascii="Arial" w:hAnsi="Arial" w:cs="Arial"/>
          <w:color w:val="202124"/>
          <w:shd w:val="clear" w:color="auto" w:fill="FFFFFF"/>
        </w:rPr>
        <w:t>)</w:t>
      </w:r>
      <w:r w:rsidRPr="00B27AC9">
        <w:rPr>
          <w:color w:val="000000"/>
        </w:rPr>
        <w:t> </w:t>
      </w:r>
    </w:p>
    <w:p w14:paraId="2CA56690" w14:textId="77777777" w:rsidR="00B27AC9" w:rsidRPr="00B27AC9" w:rsidRDefault="00B27AC9" w:rsidP="00B27AC9">
      <w:pPr>
        <w:shd w:val="clear" w:color="auto" w:fill="FFFFFF"/>
        <w:spacing w:line="480" w:lineRule="auto"/>
        <w:jc w:val="both"/>
        <w:rPr>
          <w:color w:val="000000"/>
        </w:rPr>
      </w:pPr>
      <w:r w:rsidRPr="00B27AC9">
        <w:rPr>
          <w:rFonts w:ascii="Arial" w:hAnsi="Arial" w:cs="Arial"/>
          <w:b/>
          <w:bCs/>
          <w:color w:val="202124"/>
          <w:shd w:val="clear" w:color="auto" w:fill="FFFFFF"/>
        </w:rPr>
        <w:t>DISCUSSÃO</w:t>
      </w:r>
    </w:p>
    <w:p w14:paraId="605C612D" w14:textId="1AF27DE2" w:rsidR="00B27AC9" w:rsidRPr="00B27AC9" w:rsidRDefault="00B27AC9" w:rsidP="00B27AC9">
      <w:pPr>
        <w:shd w:val="clear" w:color="auto" w:fill="FFFFFF"/>
        <w:spacing w:line="480" w:lineRule="auto"/>
        <w:ind w:firstLine="700"/>
        <w:jc w:val="both"/>
        <w:rPr>
          <w:color w:val="000000"/>
        </w:rPr>
      </w:pPr>
      <w:r w:rsidRPr="00B27AC9">
        <w:rPr>
          <w:rFonts w:ascii="Arial" w:hAnsi="Arial" w:cs="Arial"/>
          <w:color w:val="202124"/>
          <w:shd w:val="clear" w:color="auto" w:fill="FFFFFF"/>
        </w:rPr>
        <w:t xml:space="preserve">Essa foi uma análise retrospectiva de 35 pacientes portadores de escoliose neuromuscular grave com uma média de magnitude da curva principal de </w:t>
      </w:r>
      <w:r w:rsidRPr="00B27AC9">
        <w:rPr>
          <w:rFonts w:ascii="Arial" w:hAnsi="Arial" w:cs="Arial"/>
          <w:color w:val="202124"/>
        </w:rPr>
        <w:t xml:space="preserve">100° </w:t>
      </w:r>
      <w:r w:rsidRPr="00B27AC9">
        <w:rPr>
          <w:rFonts w:ascii="Arial" w:hAnsi="Arial" w:cs="Arial"/>
          <w:color w:val="202124"/>
          <w:shd w:val="clear" w:color="auto" w:fill="FFFFFF"/>
        </w:rPr>
        <w:t xml:space="preserve">± 26,2º e da obliquidade pélvica de </w:t>
      </w:r>
      <w:r w:rsidRPr="00B27AC9">
        <w:rPr>
          <w:rFonts w:ascii="Arial" w:hAnsi="Arial" w:cs="Arial"/>
          <w:color w:val="202124"/>
        </w:rPr>
        <w:t xml:space="preserve">27,9° </w:t>
      </w:r>
      <w:r w:rsidRPr="00B27AC9">
        <w:rPr>
          <w:rFonts w:ascii="Arial" w:hAnsi="Arial" w:cs="Arial"/>
          <w:color w:val="202124"/>
          <w:shd w:val="clear" w:color="auto" w:fill="FFFFFF"/>
        </w:rPr>
        <w:t xml:space="preserve">± </w:t>
      </w:r>
      <w:proofErr w:type="gramStart"/>
      <w:r w:rsidRPr="00B27AC9">
        <w:rPr>
          <w:rFonts w:ascii="Arial" w:hAnsi="Arial" w:cs="Arial"/>
          <w:color w:val="202124"/>
          <w:shd w:val="clear" w:color="auto" w:fill="FFFFFF"/>
        </w:rPr>
        <w:t>10</w:t>
      </w:r>
      <w:r w:rsidR="00DD5396">
        <w:rPr>
          <w:rFonts w:ascii="Arial" w:hAnsi="Arial" w:cs="Arial"/>
          <w:color w:val="202124"/>
          <w:shd w:val="clear" w:color="auto" w:fill="FFFFFF"/>
        </w:rPr>
        <w:t>,</w:t>
      </w:r>
      <w:r w:rsidRPr="00B27AC9">
        <w:rPr>
          <w:rFonts w:ascii="Arial" w:hAnsi="Arial" w:cs="Arial"/>
          <w:color w:val="202124"/>
          <w:shd w:val="clear" w:color="auto" w:fill="FFFFFF"/>
        </w:rPr>
        <w:t>9º.</w:t>
      </w:r>
      <w:proofErr w:type="gramEnd"/>
      <w:r w:rsidRPr="00B27AC9">
        <w:rPr>
          <w:rFonts w:ascii="Arial" w:hAnsi="Arial" w:cs="Arial"/>
          <w:color w:val="202124"/>
          <w:shd w:val="clear" w:color="auto" w:fill="FFFFFF"/>
        </w:rPr>
        <w:t xml:space="preserve"> Observamos uma taxa de complicações biomecânicas de 14,1%, uma taxa de infecção de 8,6%, com 17,1% dos pacientes necessitando de </w:t>
      </w:r>
      <w:proofErr w:type="spellStart"/>
      <w:r w:rsidRPr="00B27AC9">
        <w:rPr>
          <w:rFonts w:ascii="Arial" w:hAnsi="Arial" w:cs="Arial"/>
          <w:color w:val="202124"/>
          <w:shd w:val="clear" w:color="auto" w:fill="FFFFFF"/>
        </w:rPr>
        <w:t>reabordagem</w:t>
      </w:r>
      <w:proofErr w:type="spellEnd"/>
      <w:r w:rsidRPr="00B27AC9">
        <w:rPr>
          <w:rFonts w:ascii="Arial" w:hAnsi="Arial" w:cs="Arial"/>
          <w:color w:val="202124"/>
          <w:shd w:val="clear" w:color="auto" w:fill="FFFFFF"/>
        </w:rPr>
        <w:t xml:space="preserve"> cirúrgica não programada. Dentre os fatores relacionados à montagem dos sistemas de fixação, observamos que a densidade de parafusos não interferiu na taxa de correção e manutenção da deformidade, e o comprimento do parafuso de S2AI pode ter um papel importante na manutenção da correção das obliquidades pélvicas. </w:t>
      </w:r>
    </w:p>
    <w:p w14:paraId="5308E465" w14:textId="4E0837DC" w:rsidR="00B27AC9" w:rsidRPr="00B27AC9" w:rsidRDefault="00B27AC9" w:rsidP="00B27AC9">
      <w:pPr>
        <w:shd w:val="clear" w:color="auto" w:fill="FFFFFF"/>
        <w:spacing w:line="480" w:lineRule="auto"/>
        <w:ind w:firstLine="700"/>
        <w:jc w:val="both"/>
        <w:rPr>
          <w:color w:val="000000"/>
        </w:rPr>
      </w:pPr>
      <w:r w:rsidRPr="00B27AC9">
        <w:rPr>
          <w:rFonts w:ascii="Arial" w:hAnsi="Arial" w:cs="Arial"/>
          <w:color w:val="202124"/>
          <w:shd w:val="clear" w:color="auto" w:fill="FFFFFF"/>
        </w:rPr>
        <w:t xml:space="preserve">  A correção das curvas na escoliose neuromuscular requer, em grande parte dos casos, fixações mais extensas até a pelve, tornando as cirurgias mais longas e complexas, o que pode levar a complicações que costumam estar relacionadas à magnitude da curva, à etiologia da deformidade e às </w:t>
      </w:r>
      <w:proofErr w:type="spellStart"/>
      <w:r w:rsidRPr="00B27AC9">
        <w:rPr>
          <w:rFonts w:ascii="Arial" w:hAnsi="Arial" w:cs="Arial"/>
          <w:color w:val="202124"/>
          <w:shd w:val="clear" w:color="auto" w:fill="FFFFFF"/>
        </w:rPr>
        <w:t>comorbidades</w:t>
      </w:r>
      <w:proofErr w:type="spellEnd"/>
      <w:r w:rsidRPr="00B27AC9">
        <w:rPr>
          <w:rFonts w:ascii="Arial" w:hAnsi="Arial" w:cs="Arial"/>
          <w:color w:val="202124"/>
          <w:shd w:val="clear" w:color="auto" w:fill="FFFFFF"/>
        </w:rPr>
        <w:t xml:space="preserve"> apresentadas pelos pacientes. A principal etiologia da escoliose neuromuscular desta amostra foi a </w:t>
      </w:r>
      <w:proofErr w:type="spellStart"/>
      <w:r w:rsidRPr="00B27AC9">
        <w:rPr>
          <w:rFonts w:ascii="Arial" w:hAnsi="Arial" w:cs="Arial"/>
          <w:color w:val="202124"/>
          <w:shd w:val="clear" w:color="auto" w:fill="FFFFFF"/>
        </w:rPr>
        <w:t>mielomeningocele</w:t>
      </w:r>
      <w:proofErr w:type="spellEnd"/>
      <w:r w:rsidRPr="00B27AC9">
        <w:rPr>
          <w:rFonts w:ascii="Arial" w:hAnsi="Arial" w:cs="Arial"/>
          <w:color w:val="202124"/>
          <w:shd w:val="clear" w:color="auto" w:fill="FFFFFF"/>
        </w:rPr>
        <w:t xml:space="preserve"> (37%), contrastando com outras realidades em que houve uma maior frequência de paralisia cerebral </w:t>
      </w:r>
      <w:proofErr w:type="spellStart"/>
      <w:r w:rsidRPr="00B27AC9">
        <w:rPr>
          <w:rFonts w:ascii="Arial" w:hAnsi="Arial" w:cs="Arial"/>
          <w:color w:val="202124"/>
          <w:shd w:val="clear" w:color="auto" w:fill="FFFFFF"/>
        </w:rPr>
        <w:t>espástica</w:t>
      </w:r>
      <w:proofErr w:type="spellEnd"/>
      <w:r w:rsidRPr="00B27AC9">
        <w:rPr>
          <w:rFonts w:ascii="Arial" w:hAnsi="Arial" w:cs="Arial"/>
          <w:color w:val="202124"/>
          <w:shd w:val="clear" w:color="auto" w:fill="FFFFFF"/>
        </w:rPr>
        <w:t xml:space="preserve"> (12,13,17). Isso pode ser explicado pelo fato </w:t>
      </w:r>
      <w:r w:rsidR="001B1F94" w:rsidRPr="00B27AC9">
        <w:rPr>
          <w:rFonts w:ascii="Arial" w:hAnsi="Arial" w:cs="Arial"/>
          <w:color w:val="202124"/>
          <w:shd w:val="clear" w:color="auto" w:fill="FFFFFF"/>
        </w:rPr>
        <w:t>de o</w:t>
      </w:r>
      <w:r w:rsidRPr="00B27AC9">
        <w:rPr>
          <w:rFonts w:ascii="Arial" w:hAnsi="Arial" w:cs="Arial"/>
          <w:color w:val="202124"/>
          <w:shd w:val="clear" w:color="auto" w:fill="FFFFFF"/>
        </w:rPr>
        <w:t xml:space="preserve"> serviço ser um dos principais centros de referência do país no tratamento e reabilitação de pacientes com </w:t>
      </w:r>
      <w:proofErr w:type="spellStart"/>
      <w:r w:rsidRPr="00B27AC9">
        <w:rPr>
          <w:rFonts w:ascii="Arial" w:hAnsi="Arial" w:cs="Arial"/>
          <w:color w:val="202124"/>
          <w:shd w:val="clear" w:color="auto" w:fill="FFFFFF"/>
        </w:rPr>
        <w:t>disrafismo</w:t>
      </w:r>
      <w:proofErr w:type="spellEnd"/>
      <w:r w:rsidRPr="00B27AC9">
        <w:rPr>
          <w:rFonts w:ascii="Arial" w:hAnsi="Arial" w:cs="Arial"/>
          <w:color w:val="202124"/>
          <w:shd w:val="clear" w:color="auto" w:fill="FFFFFF"/>
        </w:rPr>
        <w:t xml:space="preserve"> espinhal. Os pacientes com Mielomeningocele apresentam uma dificuldade adicional na compreensão anatômica da transição </w:t>
      </w:r>
      <w:proofErr w:type="spellStart"/>
      <w:r w:rsidRPr="00B27AC9">
        <w:rPr>
          <w:rFonts w:ascii="Arial" w:hAnsi="Arial" w:cs="Arial"/>
          <w:color w:val="202124"/>
          <w:shd w:val="clear" w:color="auto" w:fill="FFFFFF"/>
        </w:rPr>
        <w:t>lombossacra</w:t>
      </w:r>
      <w:proofErr w:type="spellEnd"/>
      <w:r w:rsidRPr="00B27AC9">
        <w:rPr>
          <w:rFonts w:ascii="Arial" w:hAnsi="Arial" w:cs="Arial"/>
          <w:color w:val="202124"/>
          <w:shd w:val="clear" w:color="auto" w:fill="FFFFFF"/>
        </w:rPr>
        <w:t xml:space="preserve"> e costumam apresentar uma maior taxa de complicações com a ferida operatória </w:t>
      </w:r>
      <w:r w:rsidRPr="00B27AC9">
        <w:rPr>
          <w:rFonts w:ascii="Arial" w:hAnsi="Arial" w:cs="Arial"/>
          <w:color w:val="202124"/>
          <w:shd w:val="clear" w:color="auto" w:fill="FFFFFF"/>
        </w:rPr>
        <w:lastRenderedPageBreak/>
        <w:t xml:space="preserve">(18). Apesar disso, encontramos uma taxa geral de infecção de ferida operatória de 8,6% (n=3), semelhante </w:t>
      </w:r>
      <w:proofErr w:type="gramStart"/>
      <w:r w:rsidRPr="00B27AC9">
        <w:rPr>
          <w:rFonts w:ascii="Arial" w:hAnsi="Arial" w:cs="Arial"/>
          <w:color w:val="202124"/>
          <w:shd w:val="clear" w:color="auto" w:fill="FFFFFF"/>
        </w:rPr>
        <w:t>a</w:t>
      </w:r>
      <w:proofErr w:type="gramEnd"/>
      <w:r w:rsidRPr="00B27AC9">
        <w:rPr>
          <w:rFonts w:ascii="Arial" w:hAnsi="Arial" w:cs="Arial"/>
          <w:color w:val="202124"/>
          <w:shd w:val="clear" w:color="auto" w:fill="FFFFFF"/>
        </w:rPr>
        <w:t xml:space="preserve"> da literatura. Em todos esses casos houve necessidade de </w:t>
      </w:r>
      <w:proofErr w:type="spellStart"/>
      <w:r w:rsidRPr="00B27AC9">
        <w:rPr>
          <w:rFonts w:ascii="Arial" w:hAnsi="Arial" w:cs="Arial"/>
          <w:color w:val="202124"/>
          <w:shd w:val="clear" w:color="auto" w:fill="FFFFFF"/>
        </w:rPr>
        <w:t>reoperação</w:t>
      </w:r>
      <w:proofErr w:type="spellEnd"/>
      <w:r w:rsidRPr="00B27AC9">
        <w:rPr>
          <w:rFonts w:ascii="Arial" w:hAnsi="Arial" w:cs="Arial"/>
          <w:color w:val="202124"/>
          <w:shd w:val="clear" w:color="auto" w:fill="FFFFFF"/>
        </w:rPr>
        <w:t xml:space="preserve"> para </w:t>
      </w:r>
      <w:proofErr w:type="spellStart"/>
      <w:r w:rsidRPr="00B27AC9">
        <w:rPr>
          <w:rFonts w:ascii="Arial" w:hAnsi="Arial" w:cs="Arial"/>
          <w:color w:val="202124"/>
          <w:shd w:val="clear" w:color="auto" w:fill="FFFFFF"/>
        </w:rPr>
        <w:t>debridamento</w:t>
      </w:r>
      <w:proofErr w:type="spellEnd"/>
      <w:r w:rsidRPr="00B27AC9">
        <w:rPr>
          <w:rFonts w:ascii="Arial" w:hAnsi="Arial" w:cs="Arial"/>
          <w:color w:val="202124"/>
          <w:shd w:val="clear" w:color="auto" w:fill="FFFFFF"/>
        </w:rPr>
        <w:t xml:space="preserve">, constituindo um desafio nos cuidados pós-operatórios, tendo em vista a mobilidade reduzida e </w:t>
      </w:r>
      <w:proofErr w:type="spellStart"/>
      <w:r w:rsidRPr="00B27AC9">
        <w:rPr>
          <w:rFonts w:ascii="Arial" w:hAnsi="Arial" w:cs="Arial"/>
          <w:color w:val="202124"/>
          <w:shd w:val="clear" w:color="auto" w:fill="FFFFFF"/>
        </w:rPr>
        <w:t>comorbidades</w:t>
      </w:r>
      <w:proofErr w:type="spellEnd"/>
      <w:r w:rsidRPr="00B27AC9">
        <w:rPr>
          <w:rFonts w:ascii="Arial" w:hAnsi="Arial" w:cs="Arial"/>
          <w:color w:val="202124"/>
          <w:shd w:val="clear" w:color="auto" w:fill="FFFFFF"/>
        </w:rPr>
        <w:t xml:space="preserve"> presente nesses pacientes (19,20). </w:t>
      </w:r>
    </w:p>
    <w:p w14:paraId="172EE9DC" w14:textId="2E24BFCD" w:rsidR="00B27AC9" w:rsidRPr="00B27AC9" w:rsidRDefault="00B27AC9" w:rsidP="00B27AC9">
      <w:pPr>
        <w:shd w:val="clear" w:color="auto" w:fill="FFFFFF"/>
        <w:spacing w:line="480" w:lineRule="auto"/>
        <w:ind w:firstLine="700"/>
        <w:jc w:val="both"/>
        <w:rPr>
          <w:color w:val="000000"/>
        </w:rPr>
      </w:pPr>
      <w:r w:rsidRPr="00B27AC9">
        <w:rPr>
          <w:rFonts w:ascii="Arial" w:hAnsi="Arial" w:cs="Arial"/>
          <w:color w:val="202124"/>
        </w:rPr>
        <w:t xml:space="preserve">Seis pacientes (17,1%) necessitaram retornar para a realização de cirurgias não programadas. Em 3 casos ocorreram infecções do sítio cirúrgico, como já foi citado. Com relação aos demais, um dos casos foi de um paciente com Mielomeningocele que evoluiu com uma úlcera de pressão isquiática, provavelmente por mudança na área de carga com a correção da obliquidade pélvica, e necessitou de abordagem cirúrgica. Os outros 2 casos ocorreram em pacientes vítimas de sequela de traumatismo </w:t>
      </w:r>
      <w:proofErr w:type="spellStart"/>
      <w:r w:rsidRPr="00B27AC9">
        <w:rPr>
          <w:rFonts w:ascii="Arial" w:hAnsi="Arial" w:cs="Arial"/>
          <w:color w:val="202124"/>
        </w:rPr>
        <w:t>raquimedular</w:t>
      </w:r>
      <w:proofErr w:type="spellEnd"/>
      <w:r w:rsidRPr="00B27AC9">
        <w:rPr>
          <w:rFonts w:ascii="Arial" w:hAnsi="Arial" w:cs="Arial"/>
          <w:color w:val="202124"/>
        </w:rPr>
        <w:t xml:space="preserve">, sendo que um paciente teve que ser submetido à revisão da artrodese por conta de quebra da haste e do parafuso de S2AI, com piora importante da obliquidade pélvica (Figura 4); e o outro necessitou realizar a retirada de um dos parafusos da coluna torácica por ter evoluído com piora da espasticidade no pós-operatório, sendo que uma das hipóteses de fator causal seria o mal posicionamento do parafuso de T8 que invadia a parede medial do canal vertebral.  As cirurgias não programadas costumam ser uma das principais causas de insatisfação com o tratamento por parte dos pacientes, </w:t>
      </w:r>
      <w:r w:rsidRPr="00B27AC9">
        <w:rPr>
          <w:rFonts w:ascii="Arial" w:hAnsi="Arial" w:cs="Arial"/>
          <w:color w:val="202124"/>
        </w:rPr>
        <w:t>além disso</w:t>
      </w:r>
      <w:r>
        <w:rPr>
          <w:rFonts w:ascii="Arial" w:hAnsi="Arial" w:cs="Arial"/>
          <w:color w:val="202124"/>
        </w:rPr>
        <w:t xml:space="preserve"> </w:t>
      </w:r>
      <w:r w:rsidRPr="00B27AC9">
        <w:rPr>
          <w:rFonts w:ascii="Arial" w:hAnsi="Arial" w:cs="Arial"/>
          <w:color w:val="202124"/>
        </w:rPr>
        <w:t>geram um custo maior ao tratamento, seja do ponto de vista individual, como também do ponto de vista coletivo com saúde pública ou suplementar. Estes pacientes necessitam de um cuidado multidisciplinar e um planejamento pré-operatório rigoroso, para tentar mitigar os danos causados pelas complicações (18).</w:t>
      </w:r>
    </w:p>
    <w:p w14:paraId="6FFA7EB2" w14:textId="5A34A3EA" w:rsidR="00B27AC9" w:rsidRPr="00B27AC9" w:rsidRDefault="00B27AC9" w:rsidP="00DD5396">
      <w:pPr>
        <w:shd w:val="clear" w:color="auto" w:fill="FFFFFF"/>
        <w:spacing w:line="480" w:lineRule="auto"/>
        <w:jc w:val="both"/>
        <w:rPr>
          <w:color w:val="000000"/>
        </w:rPr>
      </w:pPr>
      <w:r w:rsidRPr="00B27AC9">
        <w:rPr>
          <w:color w:val="000000"/>
        </w:rPr>
        <w:lastRenderedPageBreak/>
        <w:t> </w:t>
      </w:r>
      <w:r w:rsidR="00DD5396">
        <w:rPr>
          <w:color w:val="000000"/>
        </w:rPr>
        <w:tab/>
      </w:r>
      <w:r w:rsidRPr="00B27AC9">
        <w:rPr>
          <w:rFonts w:ascii="Arial" w:hAnsi="Arial" w:cs="Arial"/>
          <w:color w:val="202124"/>
          <w:shd w:val="clear" w:color="auto" w:fill="FFFFFF"/>
        </w:rPr>
        <w:t xml:space="preserve">Em relação aos problemas verificados com o material de síntese, observamos 3 casos de quebra do parafuso de S2AI (8,6%), 2 casos de quebra haste (5,7%) e 1 em que houve soltura da haste (2,9%), totalizando uma taxa de falha por paciente de 14,1%, inferior à verificada em outras casuísticas (20-29%). (13,21,22) Em todos esses casos foi utilizada a navegação </w:t>
      </w:r>
      <w:proofErr w:type="spellStart"/>
      <w:r w:rsidRPr="00B27AC9">
        <w:rPr>
          <w:rFonts w:ascii="Arial" w:hAnsi="Arial" w:cs="Arial"/>
          <w:color w:val="202124"/>
          <w:shd w:val="clear" w:color="auto" w:fill="FFFFFF"/>
        </w:rPr>
        <w:t>intraoperatória</w:t>
      </w:r>
      <w:proofErr w:type="spellEnd"/>
      <w:r w:rsidRPr="00B27AC9">
        <w:rPr>
          <w:rFonts w:ascii="Arial" w:hAnsi="Arial" w:cs="Arial"/>
          <w:color w:val="202124"/>
          <w:shd w:val="clear" w:color="auto" w:fill="FFFFFF"/>
        </w:rPr>
        <w:t xml:space="preserve"> para instrumentação, ferramenta importante que tem auxiliado o cirurgião nos aspectos anatômicos e na definição da melhor trajetória dos parafusos na pelve. Essa ferramenta pode contribuir com uma menor taxa de mau posicionamento dos implantes, bem como inserção de parafusos com maior diâmetro e comprimento, fatores associados com menor taxa de falhas biomecânicas (13,23) </w:t>
      </w:r>
      <w:r w:rsidRPr="00B27AC9">
        <w:rPr>
          <w:rFonts w:ascii="Arial" w:hAnsi="Arial" w:cs="Arial"/>
          <w:color w:val="202124"/>
        </w:rPr>
        <w:t>(figura 3).</w:t>
      </w:r>
    </w:p>
    <w:p w14:paraId="77DB72DD" w14:textId="77777777" w:rsidR="00B27AC9" w:rsidRPr="00B27AC9" w:rsidRDefault="00B27AC9" w:rsidP="00B27AC9">
      <w:pPr>
        <w:spacing w:line="480" w:lineRule="auto"/>
        <w:ind w:firstLine="720"/>
        <w:jc w:val="both"/>
        <w:rPr>
          <w:color w:val="000000"/>
        </w:rPr>
      </w:pPr>
      <w:r w:rsidRPr="00B27AC9">
        <w:rPr>
          <w:rFonts w:ascii="Arial" w:hAnsi="Arial" w:cs="Arial"/>
          <w:color w:val="000000"/>
        </w:rPr>
        <w:t xml:space="preserve">O calibre médio do parafuso de S2AI na amostra foi de 7.02 </w:t>
      </w:r>
      <w:r w:rsidRPr="00B27AC9">
        <w:rPr>
          <w:rFonts w:ascii="Arial" w:hAnsi="Arial" w:cs="Arial"/>
          <w:color w:val="202124"/>
          <w:shd w:val="clear" w:color="auto" w:fill="FFFFFF"/>
        </w:rPr>
        <w:t>±</w:t>
      </w:r>
      <w:r w:rsidRPr="00B27AC9">
        <w:rPr>
          <w:rFonts w:ascii="Arial" w:hAnsi="Arial" w:cs="Arial"/>
          <w:color w:val="000000"/>
        </w:rPr>
        <w:t xml:space="preserve"> 0.26, considerado baixo segundo algumas evidências da literatura, como é o caso do estudo em que </w:t>
      </w:r>
      <w:proofErr w:type="spellStart"/>
      <w:r w:rsidRPr="00B27AC9">
        <w:rPr>
          <w:rFonts w:ascii="Arial" w:hAnsi="Arial" w:cs="Arial"/>
          <w:color w:val="000000"/>
        </w:rPr>
        <w:t>Sponseller</w:t>
      </w:r>
      <w:proofErr w:type="spellEnd"/>
      <w:r w:rsidRPr="00B27AC9">
        <w:rPr>
          <w:rFonts w:ascii="Arial" w:hAnsi="Arial" w:cs="Arial"/>
          <w:color w:val="000000"/>
        </w:rPr>
        <w:t xml:space="preserve"> et al observaram uma taxa aumentada de quebra de parafuso em pacientes nos quais foram implantados parafusos com diâmetro inferior a 9mm. Apesar disso, observamos uma taxa baixa de quebra do parafuso de 8,6% (3 casos). Acreditamos que a escolha da melhor trajetória com a ajuda da navegação pode ter influenciado no resultado, permitindo inserir o parafuso em uma região com maior estoque ósseo, contribuindo para um melhor apoio e resistência durante a descarga de peso no posicionamento sentado e durante as atividades cotidianas. </w:t>
      </w:r>
    </w:p>
    <w:p w14:paraId="38D28065" w14:textId="4924A0A4" w:rsidR="00B27AC9" w:rsidRPr="00B27AC9" w:rsidRDefault="00B27AC9" w:rsidP="00B27AC9">
      <w:pPr>
        <w:spacing w:line="480" w:lineRule="auto"/>
        <w:ind w:firstLine="720"/>
        <w:jc w:val="both"/>
        <w:rPr>
          <w:color w:val="000000"/>
        </w:rPr>
      </w:pPr>
      <w:r w:rsidRPr="00B27AC9">
        <w:rPr>
          <w:rFonts w:ascii="Arial" w:hAnsi="Arial" w:cs="Arial"/>
          <w:color w:val="000000"/>
        </w:rPr>
        <w:t xml:space="preserve">Ao analisar a densidade de parafusos das montagens, observamos uma densidade geral baixa (1.3 </w:t>
      </w:r>
      <w:r w:rsidRPr="00B27AC9">
        <w:rPr>
          <w:rFonts w:ascii="Arial" w:hAnsi="Arial" w:cs="Arial"/>
          <w:color w:val="202124"/>
          <w:shd w:val="clear" w:color="auto" w:fill="FFFFFF"/>
        </w:rPr>
        <w:t>±</w:t>
      </w:r>
      <w:r w:rsidRPr="00B27AC9">
        <w:rPr>
          <w:rFonts w:ascii="Arial" w:hAnsi="Arial" w:cs="Arial"/>
          <w:color w:val="000000"/>
        </w:rPr>
        <w:t xml:space="preserve"> 0,2). Portanto, optamos por avaliar a região lombar de forma individualizada, em virtude de ser o local onde se concentra a maior parte da deformidade em conjunto com a obliquidade da pelve. </w:t>
      </w:r>
      <w:r w:rsidRPr="00B27AC9">
        <w:rPr>
          <w:rFonts w:ascii="Arial" w:hAnsi="Arial" w:cs="Arial"/>
          <w:color w:val="202124"/>
          <w:shd w:val="clear" w:color="auto" w:fill="FFFFFF"/>
        </w:rPr>
        <w:t xml:space="preserve">A taxa de </w:t>
      </w:r>
      <w:r w:rsidRPr="00B27AC9">
        <w:rPr>
          <w:rFonts w:ascii="Arial" w:hAnsi="Arial" w:cs="Arial"/>
          <w:color w:val="202124"/>
          <w:shd w:val="clear" w:color="auto" w:fill="FFFFFF"/>
        </w:rPr>
        <w:lastRenderedPageBreak/>
        <w:t xml:space="preserve">correção obtida no plano coronal (55%) e na inclinação pélvica (65%), bem como sua manutenção durante o pós-operatório, não foi diferente entre os pacientes com baixa e alta densidade lombar de implantes (&gt;1.5 parafusos por nível), apesar do alto valor angular médio das deformidades da amostra. Estes achados são </w:t>
      </w:r>
      <w:r w:rsidRPr="00B27AC9">
        <w:rPr>
          <w:rFonts w:ascii="Arial" w:hAnsi="Arial" w:cs="Arial"/>
          <w:color w:val="202124"/>
          <w:shd w:val="clear" w:color="auto" w:fill="FFFFFF"/>
        </w:rPr>
        <w:t>compatíveis com</w:t>
      </w:r>
      <w:r w:rsidRPr="00B27AC9">
        <w:rPr>
          <w:rFonts w:ascii="Arial" w:hAnsi="Arial" w:cs="Arial"/>
          <w:color w:val="202124"/>
          <w:shd w:val="clear" w:color="auto" w:fill="FFFFFF"/>
        </w:rPr>
        <w:t xml:space="preserve"> o que já foi evidenciado em outros estudos (24,25).</w:t>
      </w:r>
      <w:r w:rsidR="00DD65D2">
        <w:rPr>
          <w:rFonts w:ascii="Arial" w:hAnsi="Arial" w:cs="Arial"/>
          <w:color w:val="202124"/>
          <w:shd w:val="clear" w:color="auto" w:fill="FFFFFF"/>
        </w:rPr>
        <w:t xml:space="preserve"> </w:t>
      </w:r>
      <w:proofErr w:type="gramStart"/>
      <w:r w:rsidRPr="00B27AC9">
        <w:rPr>
          <w:rFonts w:ascii="Arial" w:hAnsi="Arial" w:cs="Arial"/>
          <w:color w:val="202124"/>
          <w:shd w:val="clear" w:color="auto" w:fill="FFFFFF"/>
        </w:rPr>
        <w:t>(</w:t>
      </w:r>
      <w:proofErr w:type="gramEnd"/>
      <w:r w:rsidRPr="00B27AC9">
        <w:rPr>
          <w:rFonts w:ascii="Arial" w:hAnsi="Arial" w:cs="Arial"/>
          <w:color w:val="202124"/>
          <w:shd w:val="clear" w:color="auto" w:fill="FFFFFF"/>
        </w:rPr>
        <w:t>Tabela 4)</w:t>
      </w:r>
    </w:p>
    <w:p w14:paraId="7E94831F" w14:textId="77777777" w:rsidR="00B27AC9" w:rsidRPr="00B27AC9" w:rsidRDefault="00B27AC9" w:rsidP="00B27AC9">
      <w:pPr>
        <w:spacing w:line="480" w:lineRule="auto"/>
        <w:ind w:firstLine="720"/>
        <w:jc w:val="both"/>
        <w:rPr>
          <w:color w:val="000000"/>
        </w:rPr>
      </w:pPr>
      <w:r w:rsidRPr="00B27AC9">
        <w:rPr>
          <w:rFonts w:ascii="Arial" w:hAnsi="Arial" w:cs="Arial"/>
          <w:color w:val="000000"/>
        </w:rPr>
        <w:t xml:space="preserve">Um grupo de 14 pacientes (40% da amostra) perdeu parte da correção da obliquidade pélvica durante o seguimento. Ao final do seguimento, estes pacientes apresentavam uma obliquidade pélvica de 13,8 </w:t>
      </w:r>
      <w:r w:rsidRPr="00B27AC9">
        <w:rPr>
          <w:rFonts w:ascii="Arial" w:hAnsi="Arial" w:cs="Arial"/>
          <w:color w:val="202124"/>
          <w:shd w:val="clear" w:color="auto" w:fill="FFFFFF"/>
        </w:rPr>
        <w:t>±</w:t>
      </w:r>
      <w:r w:rsidRPr="00B27AC9">
        <w:rPr>
          <w:rFonts w:ascii="Arial" w:hAnsi="Arial" w:cs="Arial"/>
          <w:color w:val="000000"/>
        </w:rPr>
        <w:t xml:space="preserve"> 6,8 graus, um pouco mais que o dobro da obliquidade pélvica dos pacientes que não apresentaram perda da correção (6,5 </w:t>
      </w:r>
      <w:r w:rsidRPr="00B27AC9">
        <w:rPr>
          <w:rFonts w:ascii="Arial" w:hAnsi="Arial" w:cs="Arial"/>
          <w:color w:val="202124"/>
          <w:shd w:val="clear" w:color="auto" w:fill="FFFFFF"/>
        </w:rPr>
        <w:t>±</w:t>
      </w:r>
      <w:r w:rsidRPr="00B27AC9">
        <w:rPr>
          <w:rFonts w:ascii="Arial" w:hAnsi="Arial" w:cs="Arial"/>
          <w:color w:val="000000"/>
        </w:rPr>
        <w:t xml:space="preserve"> 5,6; p = 0,001). O comprimento do parafuso de S2AI inserido no lado côncavo da curva (região submetida a uma maior força de distração e alongamento durante a correção) foi significativamente menor nos pacientes que perderam a correção (71,1 </w:t>
      </w:r>
      <w:r w:rsidRPr="00B27AC9">
        <w:rPr>
          <w:rFonts w:ascii="Arial" w:hAnsi="Arial" w:cs="Arial"/>
          <w:color w:val="202124"/>
          <w:shd w:val="clear" w:color="auto" w:fill="FFFFFF"/>
        </w:rPr>
        <w:t>±</w:t>
      </w:r>
      <w:r w:rsidRPr="00B27AC9">
        <w:rPr>
          <w:rFonts w:ascii="Arial" w:hAnsi="Arial" w:cs="Arial"/>
          <w:color w:val="000000"/>
        </w:rPr>
        <w:t xml:space="preserve"> 8,1 </w:t>
      </w:r>
      <w:proofErr w:type="spellStart"/>
      <w:r w:rsidRPr="00B27AC9">
        <w:rPr>
          <w:rFonts w:ascii="Arial" w:hAnsi="Arial" w:cs="Arial"/>
          <w:color w:val="000000"/>
        </w:rPr>
        <w:t>vs</w:t>
      </w:r>
      <w:proofErr w:type="spellEnd"/>
      <w:r w:rsidRPr="00B27AC9">
        <w:rPr>
          <w:rFonts w:ascii="Arial" w:hAnsi="Arial" w:cs="Arial"/>
          <w:color w:val="000000"/>
        </w:rPr>
        <w:t xml:space="preserve"> 78,1 </w:t>
      </w:r>
      <w:r w:rsidRPr="00B27AC9">
        <w:rPr>
          <w:rFonts w:ascii="Arial" w:hAnsi="Arial" w:cs="Arial"/>
          <w:color w:val="202124"/>
          <w:shd w:val="clear" w:color="auto" w:fill="FFFFFF"/>
        </w:rPr>
        <w:t>±</w:t>
      </w:r>
      <w:r w:rsidRPr="00B27AC9">
        <w:rPr>
          <w:rFonts w:ascii="Arial" w:hAnsi="Arial" w:cs="Arial"/>
          <w:color w:val="000000"/>
        </w:rPr>
        <w:t xml:space="preserve"> 10,5; p = 0,043). Estes dados sinalizam para a importância de nos atentarmos não apenas para o calibre dos parafusos, como também para o seu comprimento, que pode ser um fator importante na manutenção da correção da obliquidade da pelve durante o seguimento. </w:t>
      </w:r>
    </w:p>
    <w:p w14:paraId="28352C7B" w14:textId="77777777" w:rsidR="00DD65D2" w:rsidRDefault="00DD65D2" w:rsidP="00B27AC9">
      <w:pPr>
        <w:spacing w:line="480" w:lineRule="auto"/>
        <w:jc w:val="both"/>
        <w:rPr>
          <w:rFonts w:ascii="Arial" w:hAnsi="Arial" w:cs="Arial"/>
          <w:b/>
          <w:bCs/>
          <w:color w:val="000000"/>
        </w:rPr>
      </w:pPr>
    </w:p>
    <w:p w14:paraId="227733B3" w14:textId="028AF712" w:rsidR="00B27AC9" w:rsidRPr="00B27AC9" w:rsidRDefault="00B27AC9" w:rsidP="00B27AC9">
      <w:pPr>
        <w:spacing w:line="480" w:lineRule="auto"/>
        <w:jc w:val="both"/>
        <w:rPr>
          <w:color w:val="000000"/>
        </w:rPr>
      </w:pPr>
      <w:r w:rsidRPr="00B27AC9">
        <w:rPr>
          <w:rFonts w:ascii="Arial" w:hAnsi="Arial" w:cs="Arial"/>
          <w:b/>
          <w:bCs/>
          <w:color w:val="000000"/>
        </w:rPr>
        <w:t>CONCLUSÃO</w:t>
      </w:r>
    </w:p>
    <w:p w14:paraId="5207222F" w14:textId="77777777" w:rsidR="00B27AC9" w:rsidRPr="00B27AC9" w:rsidRDefault="00B27AC9" w:rsidP="00B27AC9">
      <w:pPr>
        <w:spacing w:line="480" w:lineRule="auto"/>
        <w:ind w:firstLine="720"/>
        <w:jc w:val="both"/>
        <w:rPr>
          <w:color w:val="000000"/>
        </w:rPr>
      </w:pPr>
      <w:r w:rsidRPr="00B27AC9">
        <w:rPr>
          <w:rFonts w:ascii="Arial" w:hAnsi="Arial" w:cs="Arial"/>
          <w:color w:val="000000"/>
        </w:rPr>
        <w:t xml:space="preserve">Este estudo apresenta algumas limitações, como a sua natureza retrospectiva, a realização em apenas um único centro, o tamanho amostral limitado (embora seja significativo quando comparado com os estudos da literatura) e a falta de um grupo de comparação. Além disso, não analisamos </w:t>
      </w:r>
      <w:r w:rsidRPr="00B27AC9">
        <w:rPr>
          <w:rFonts w:ascii="Arial" w:hAnsi="Arial" w:cs="Arial"/>
          <w:color w:val="000000"/>
        </w:rPr>
        <w:lastRenderedPageBreak/>
        <w:t>dados de qualidade de vida através de questionários aplicados aos pacientes e aos cuidadores. </w:t>
      </w:r>
    </w:p>
    <w:p w14:paraId="76B73BD7" w14:textId="77777777" w:rsidR="00B27AC9" w:rsidRPr="00B27AC9" w:rsidRDefault="00B27AC9" w:rsidP="00B27AC9">
      <w:pPr>
        <w:spacing w:line="480" w:lineRule="auto"/>
        <w:ind w:firstLine="720"/>
        <w:jc w:val="both"/>
        <w:rPr>
          <w:color w:val="000000"/>
        </w:rPr>
      </w:pPr>
      <w:r w:rsidRPr="00B27AC9">
        <w:rPr>
          <w:rFonts w:ascii="Arial" w:hAnsi="Arial" w:cs="Arial"/>
          <w:color w:val="000000"/>
        </w:rPr>
        <w:t xml:space="preserve">Em contrapartida, trata-se de uma coorte com pacientes graves, complexos do ponto de vista clínico e cirúrgico, submetidos a um tratamento com alto potencial de complicações e com um tempo de acompanhamento relevante. Os dados sugerem que a navegação </w:t>
      </w:r>
      <w:proofErr w:type="spellStart"/>
      <w:r w:rsidRPr="00B27AC9">
        <w:rPr>
          <w:rFonts w:ascii="Arial" w:hAnsi="Arial" w:cs="Arial"/>
          <w:color w:val="000000"/>
        </w:rPr>
        <w:t>intraoperatória</w:t>
      </w:r>
      <w:proofErr w:type="spellEnd"/>
      <w:r w:rsidRPr="00B27AC9">
        <w:rPr>
          <w:rFonts w:ascii="Arial" w:hAnsi="Arial" w:cs="Arial"/>
          <w:color w:val="000000"/>
        </w:rPr>
        <w:t xml:space="preserve"> pode contribuir com a diminuição da taxa de complicações relacionadas ao parafuso de S2AI, além disso, que o comprimento deste parafuso aparenta ter uma relevância significativa na manutenção da correção ao longo do seguimento. </w:t>
      </w:r>
    </w:p>
    <w:p w14:paraId="6E7F8DFB" w14:textId="77777777" w:rsidR="00B27AC9" w:rsidRPr="00B27AC9" w:rsidRDefault="00B27AC9" w:rsidP="00B27AC9">
      <w:pPr>
        <w:rPr>
          <w:color w:val="000000"/>
        </w:rPr>
      </w:pPr>
    </w:p>
    <w:p w14:paraId="2E76BF29" w14:textId="77777777" w:rsidR="00B27AC9" w:rsidRPr="00B27AC9" w:rsidRDefault="00B27AC9" w:rsidP="00B27AC9">
      <w:pPr>
        <w:spacing w:after="200" w:line="480" w:lineRule="auto"/>
        <w:rPr>
          <w:color w:val="000000"/>
        </w:rPr>
      </w:pPr>
      <w:r w:rsidRPr="00B27AC9">
        <w:rPr>
          <w:rFonts w:ascii="Arial" w:hAnsi="Arial" w:cs="Arial"/>
          <w:b/>
          <w:bCs/>
          <w:color w:val="000000"/>
        </w:rPr>
        <w:t>REFERÊNCIAS</w:t>
      </w:r>
    </w:p>
    <w:p w14:paraId="1C904DCE"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rPr>
      </w:pPr>
      <w:r w:rsidRPr="00B27AC9">
        <w:rPr>
          <w:rFonts w:ascii="Arial" w:hAnsi="Arial" w:cs="Arial"/>
          <w:color w:val="000000"/>
        </w:rPr>
        <w:t xml:space="preserve">Santos ERG, </w:t>
      </w:r>
      <w:proofErr w:type="spellStart"/>
      <w:r w:rsidRPr="00B27AC9">
        <w:rPr>
          <w:rFonts w:ascii="Arial" w:hAnsi="Arial" w:cs="Arial"/>
          <w:color w:val="000000"/>
        </w:rPr>
        <w:t>Sembrano</w:t>
      </w:r>
      <w:proofErr w:type="spellEnd"/>
      <w:r w:rsidRPr="00B27AC9">
        <w:rPr>
          <w:rFonts w:ascii="Arial" w:hAnsi="Arial" w:cs="Arial"/>
          <w:color w:val="000000"/>
        </w:rPr>
        <w:t xml:space="preserve"> JN, Mueller B, </w:t>
      </w:r>
      <w:proofErr w:type="spellStart"/>
      <w:r w:rsidRPr="00B27AC9">
        <w:rPr>
          <w:rFonts w:ascii="Arial" w:hAnsi="Arial" w:cs="Arial"/>
          <w:color w:val="000000"/>
        </w:rPr>
        <w:t>Polly</w:t>
      </w:r>
      <w:proofErr w:type="spellEnd"/>
      <w:r w:rsidRPr="00B27AC9">
        <w:rPr>
          <w:rFonts w:ascii="Arial" w:hAnsi="Arial" w:cs="Arial"/>
          <w:color w:val="000000"/>
        </w:rPr>
        <w:t xml:space="preserve"> DW. </w:t>
      </w:r>
      <w:r w:rsidRPr="00B27AC9">
        <w:rPr>
          <w:rFonts w:ascii="Arial" w:hAnsi="Arial" w:cs="Arial"/>
          <w:color w:val="000000"/>
          <w:lang w:val="en-US"/>
        </w:rPr>
        <w:t xml:space="preserve">Optimizing iliac screw fixation: a biomechanical study on screw length, trajectory, and diameter. </w:t>
      </w:r>
      <w:r w:rsidRPr="00B27AC9">
        <w:rPr>
          <w:rFonts w:ascii="Arial" w:hAnsi="Arial" w:cs="Arial"/>
          <w:color w:val="000000"/>
        </w:rPr>
        <w:t xml:space="preserve">J </w:t>
      </w:r>
      <w:proofErr w:type="spellStart"/>
      <w:r w:rsidRPr="00B27AC9">
        <w:rPr>
          <w:rFonts w:ascii="Arial" w:hAnsi="Arial" w:cs="Arial"/>
          <w:color w:val="000000"/>
        </w:rPr>
        <w:t>Neurosurg</w:t>
      </w:r>
      <w:proofErr w:type="spellEnd"/>
      <w:r w:rsidRPr="00B27AC9">
        <w:rPr>
          <w:rFonts w:ascii="Arial" w:hAnsi="Arial" w:cs="Arial"/>
          <w:color w:val="000000"/>
        </w:rPr>
        <w:t xml:space="preserve"> </w:t>
      </w:r>
      <w:proofErr w:type="spellStart"/>
      <w:r w:rsidRPr="00B27AC9">
        <w:rPr>
          <w:rFonts w:ascii="Arial" w:hAnsi="Arial" w:cs="Arial"/>
          <w:color w:val="000000"/>
        </w:rPr>
        <w:t>Spine</w:t>
      </w:r>
      <w:proofErr w:type="spellEnd"/>
      <w:r w:rsidRPr="00B27AC9">
        <w:rPr>
          <w:rFonts w:ascii="Arial" w:hAnsi="Arial" w:cs="Arial"/>
          <w:color w:val="000000"/>
        </w:rPr>
        <w:t xml:space="preserve"> 14:219–225, 2011;</w:t>
      </w:r>
    </w:p>
    <w:p w14:paraId="67059D5E"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rPr>
      </w:pPr>
      <w:proofErr w:type="spellStart"/>
      <w:r w:rsidRPr="00B27AC9">
        <w:rPr>
          <w:rFonts w:ascii="Arial" w:hAnsi="Arial" w:cs="Arial"/>
          <w:color w:val="000000"/>
          <w:lang w:val="en-US"/>
        </w:rPr>
        <w:t>Mattei</w:t>
      </w:r>
      <w:proofErr w:type="spellEnd"/>
      <w:r w:rsidRPr="00B27AC9">
        <w:rPr>
          <w:rFonts w:ascii="Arial" w:hAnsi="Arial" w:cs="Arial"/>
          <w:color w:val="000000"/>
          <w:lang w:val="en-US"/>
        </w:rPr>
        <w:t xml:space="preserve"> TA, </w:t>
      </w:r>
      <w:proofErr w:type="spellStart"/>
      <w:r w:rsidRPr="00B27AC9">
        <w:rPr>
          <w:rFonts w:ascii="Arial" w:hAnsi="Arial" w:cs="Arial"/>
          <w:color w:val="000000"/>
          <w:lang w:val="en-US"/>
        </w:rPr>
        <w:t>Fassett</w:t>
      </w:r>
      <w:proofErr w:type="spellEnd"/>
      <w:r w:rsidRPr="00B27AC9">
        <w:rPr>
          <w:rFonts w:ascii="Arial" w:hAnsi="Arial" w:cs="Arial"/>
          <w:color w:val="000000"/>
          <w:lang w:val="en-US"/>
        </w:rPr>
        <w:t xml:space="preserve"> DR. Combined S-1 and S-2 sacral alar-iliac screws as a salvage technique for pelvic fixation after pseudarthrosis </w:t>
      </w:r>
      <w:proofErr w:type="gramStart"/>
      <w:r w:rsidRPr="00B27AC9">
        <w:rPr>
          <w:rFonts w:ascii="Arial" w:hAnsi="Arial" w:cs="Arial"/>
          <w:color w:val="000000"/>
          <w:lang w:val="en-US"/>
        </w:rPr>
        <w:t xml:space="preserve">and  </w:t>
      </w:r>
      <w:proofErr w:type="spellStart"/>
      <w:r w:rsidRPr="00B27AC9">
        <w:rPr>
          <w:rFonts w:ascii="Arial" w:hAnsi="Arial" w:cs="Arial"/>
          <w:color w:val="000000"/>
          <w:lang w:val="en-US"/>
        </w:rPr>
        <w:t>lumbosacropelvic</w:t>
      </w:r>
      <w:proofErr w:type="spellEnd"/>
      <w:proofErr w:type="gramEnd"/>
      <w:r w:rsidRPr="00B27AC9">
        <w:rPr>
          <w:rFonts w:ascii="Arial" w:hAnsi="Arial" w:cs="Arial"/>
          <w:color w:val="000000"/>
          <w:lang w:val="en-US"/>
        </w:rPr>
        <w:t xml:space="preserve"> instability. </w:t>
      </w:r>
      <w:r w:rsidRPr="00B27AC9">
        <w:rPr>
          <w:rFonts w:ascii="Arial" w:hAnsi="Arial" w:cs="Arial"/>
          <w:color w:val="000000"/>
        </w:rPr>
        <w:t xml:space="preserve">J </w:t>
      </w:r>
      <w:proofErr w:type="spellStart"/>
      <w:r w:rsidRPr="00B27AC9">
        <w:rPr>
          <w:rFonts w:ascii="Arial" w:hAnsi="Arial" w:cs="Arial"/>
          <w:color w:val="000000"/>
        </w:rPr>
        <w:t>Neurosurg</w:t>
      </w:r>
      <w:proofErr w:type="spellEnd"/>
      <w:r w:rsidRPr="00B27AC9">
        <w:rPr>
          <w:rFonts w:ascii="Arial" w:hAnsi="Arial" w:cs="Arial"/>
          <w:color w:val="000000"/>
        </w:rPr>
        <w:t xml:space="preserve"> </w:t>
      </w:r>
      <w:proofErr w:type="spellStart"/>
      <w:r w:rsidRPr="00B27AC9">
        <w:rPr>
          <w:rFonts w:ascii="Arial" w:hAnsi="Arial" w:cs="Arial"/>
          <w:color w:val="000000"/>
        </w:rPr>
        <w:t>Spine</w:t>
      </w:r>
      <w:proofErr w:type="spellEnd"/>
      <w:r w:rsidRPr="00B27AC9">
        <w:rPr>
          <w:rFonts w:ascii="Arial" w:hAnsi="Arial" w:cs="Arial"/>
          <w:color w:val="000000"/>
        </w:rPr>
        <w:t xml:space="preserve"> 19:321–330, 2013;</w:t>
      </w:r>
    </w:p>
    <w:p w14:paraId="5D730E91"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rPr>
      </w:pPr>
      <w:r w:rsidRPr="00B27AC9">
        <w:rPr>
          <w:rFonts w:ascii="Arial" w:hAnsi="Arial" w:cs="Arial"/>
          <w:color w:val="000000"/>
          <w:lang w:val="en-US"/>
        </w:rPr>
        <w:t xml:space="preserve">Liu B, Wang J, Zhang L, Gan W. Radiographic study of iliac screw passages. </w:t>
      </w:r>
      <w:proofErr w:type="spellStart"/>
      <w:r w:rsidRPr="00B27AC9">
        <w:rPr>
          <w:rFonts w:ascii="Arial" w:hAnsi="Arial" w:cs="Arial"/>
          <w:color w:val="000000"/>
        </w:rPr>
        <w:t>Journal</w:t>
      </w:r>
      <w:proofErr w:type="spellEnd"/>
      <w:r w:rsidRPr="00B27AC9">
        <w:rPr>
          <w:rFonts w:ascii="Arial" w:hAnsi="Arial" w:cs="Arial"/>
          <w:color w:val="000000"/>
        </w:rPr>
        <w:t xml:space="preserve"> </w:t>
      </w:r>
      <w:proofErr w:type="spellStart"/>
      <w:r w:rsidRPr="00B27AC9">
        <w:rPr>
          <w:rFonts w:ascii="Arial" w:hAnsi="Arial" w:cs="Arial"/>
          <w:color w:val="000000"/>
        </w:rPr>
        <w:t>of</w:t>
      </w:r>
      <w:proofErr w:type="spellEnd"/>
      <w:r w:rsidRPr="00B27AC9">
        <w:rPr>
          <w:rFonts w:ascii="Arial" w:hAnsi="Arial" w:cs="Arial"/>
          <w:color w:val="000000"/>
        </w:rPr>
        <w:t xml:space="preserve"> </w:t>
      </w:r>
      <w:proofErr w:type="spellStart"/>
      <w:r w:rsidRPr="00B27AC9">
        <w:rPr>
          <w:rFonts w:ascii="Arial" w:hAnsi="Arial" w:cs="Arial"/>
          <w:color w:val="000000"/>
        </w:rPr>
        <w:t>Orthopaedic</w:t>
      </w:r>
      <w:proofErr w:type="spellEnd"/>
      <w:r w:rsidRPr="00B27AC9">
        <w:rPr>
          <w:rFonts w:ascii="Arial" w:hAnsi="Arial" w:cs="Arial"/>
          <w:color w:val="000000"/>
        </w:rPr>
        <w:t xml:space="preserve"> </w:t>
      </w:r>
      <w:proofErr w:type="spellStart"/>
      <w:r w:rsidRPr="00B27AC9">
        <w:rPr>
          <w:rFonts w:ascii="Arial" w:hAnsi="Arial" w:cs="Arial"/>
          <w:color w:val="000000"/>
        </w:rPr>
        <w:t>Surgery</w:t>
      </w:r>
      <w:proofErr w:type="spellEnd"/>
      <w:r w:rsidRPr="00B27AC9">
        <w:rPr>
          <w:rFonts w:ascii="Arial" w:hAnsi="Arial" w:cs="Arial"/>
          <w:color w:val="000000"/>
        </w:rPr>
        <w:t xml:space="preserve"> </w:t>
      </w:r>
      <w:proofErr w:type="spellStart"/>
      <w:r w:rsidRPr="00B27AC9">
        <w:rPr>
          <w:rFonts w:ascii="Arial" w:hAnsi="Arial" w:cs="Arial"/>
          <w:color w:val="000000"/>
        </w:rPr>
        <w:t>and</w:t>
      </w:r>
      <w:proofErr w:type="spellEnd"/>
      <w:r w:rsidRPr="00B27AC9">
        <w:rPr>
          <w:rFonts w:ascii="Arial" w:hAnsi="Arial" w:cs="Arial"/>
          <w:color w:val="000000"/>
        </w:rPr>
        <w:t xml:space="preserve"> </w:t>
      </w:r>
      <w:proofErr w:type="spellStart"/>
      <w:r w:rsidRPr="00B27AC9">
        <w:rPr>
          <w:rFonts w:ascii="Arial" w:hAnsi="Arial" w:cs="Arial"/>
          <w:color w:val="000000"/>
        </w:rPr>
        <w:t>Research</w:t>
      </w:r>
      <w:proofErr w:type="spellEnd"/>
      <w:r w:rsidRPr="00B27AC9">
        <w:rPr>
          <w:rFonts w:ascii="Arial" w:hAnsi="Arial" w:cs="Arial"/>
          <w:color w:val="000000"/>
        </w:rPr>
        <w:t xml:space="preserve"> 2014, 9:40;</w:t>
      </w:r>
    </w:p>
    <w:p w14:paraId="2202AE57"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rPr>
      </w:pPr>
      <w:r w:rsidRPr="00B27AC9">
        <w:rPr>
          <w:rFonts w:ascii="Arial" w:hAnsi="Arial" w:cs="Arial"/>
          <w:color w:val="000000"/>
          <w:lang w:val="en-US"/>
        </w:rPr>
        <w:t xml:space="preserve">Park SA, Kwak DS, You SL. Entry zone of iliac screw </w:t>
      </w:r>
      <w:r w:rsidRPr="00B27AC9">
        <w:rPr>
          <w:rFonts w:ascii="Arial" w:hAnsi="Arial" w:cs="Arial"/>
          <w:color w:val="000000"/>
        </w:rPr>
        <w:t>ﬁ</w:t>
      </w:r>
      <w:proofErr w:type="spellStart"/>
      <w:r w:rsidRPr="00B27AC9">
        <w:rPr>
          <w:rFonts w:ascii="Arial" w:hAnsi="Arial" w:cs="Arial"/>
          <w:color w:val="000000"/>
          <w:lang w:val="en-US"/>
        </w:rPr>
        <w:t>xation</w:t>
      </w:r>
      <w:proofErr w:type="spellEnd"/>
      <w:r w:rsidRPr="00B27AC9">
        <w:rPr>
          <w:rFonts w:ascii="Arial" w:hAnsi="Arial" w:cs="Arial"/>
          <w:color w:val="000000"/>
          <w:lang w:val="en-US"/>
        </w:rPr>
        <w:t xml:space="preserve"> to maintain proper entry width and screw length. </w:t>
      </w:r>
      <w:proofErr w:type="spellStart"/>
      <w:r w:rsidRPr="00B27AC9">
        <w:rPr>
          <w:rFonts w:ascii="Arial" w:hAnsi="Arial" w:cs="Arial"/>
          <w:color w:val="000000"/>
        </w:rPr>
        <w:t>Eur</w:t>
      </w:r>
      <w:proofErr w:type="spellEnd"/>
      <w:r w:rsidRPr="00B27AC9">
        <w:rPr>
          <w:rFonts w:ascii="Arial" w:hAnsi="Arial" w:cs="Arial"/>
          <w:color w:val="000000"/>
        </w:rPr>
        <w:t xml:space="preserve"> </w:t>
      </w:r>
      <w:proofErr w:type="spellStart"/>
      <w:r w:rsidRPr="00B27AC9">
        <w:rPr>
          <w:rFonts w:ascii="Arial" w:hAnsi="Arial" w:cs="Arial"/>
          <w:color w:val="000000"/>
        </w:rPr>
        <w:t>Spine</w:t>
      </w:r>
      <w:proofErr w:type="spellEnd"/>
      <w:r w:rsidRPr="00B27AC9">
        <w:rPr>
          <w:rFonts w:ascii="Arial" w:hAnsi="Arial" w:cs="Arial"/>
          <w:color w:val="000000"/>
        </w:rPr>
        <w:t xml:space="preserve"> J (2015). </w:t>
      </w:r>
      <w:proofErr w:type="spellStart"/>
      <w:r w:rsidRPr="00B27AC9">
        <w:rPr>
          <w:rFonts w:ascii="Arial" w:hAnsi="Arial" w:cs="Arial"/>
          <w:color w:val="000000"/>
        </w:rPr>
        <w:t>Published</w:t>
      </w:r>
      <w:proofErr w:type="spellEnd"/>
      <w:r w:rsidRPr="00B27AC9">
        <w:rPr>
          <w:rFonts w:ascii="Arial" w:hAnsi="Arial" w:cs="Arial"/>
          <w:color w:val="000000"/>
        </w:rPr>
        <w:t xml:space="preserve"> online</w:t>
      </w:r>
    </w:p>
    <w:p w14:paraId="5BE6F507"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rPr>
      </w:pPr>
      <w:proofErr w:type="spellStart"/>
      <w:r w:rsidRPr="00B27AC9">
        <w:rPr>
          <w:rFonts w:ascii="Arial" w:hAnsi="Arial" w:cs="Arial"/>
          <w:color w:val="212121"/>
          <w:shd w:val="clear" w:color="auto" w:fill="FFFFFF"/>
          <w:lang w:val="en-US"/>
        </w:rPr>
        <w:t>Moshirfar</w:t>
      </w:r>
      <w:proofErr w:type="spellEnd"/>
      <w:r w:rsidRPr="00B27AC9">
        <w:rPr>
          <w:rFonts w:ascii="Arial" w:hAnsi="Arial" w:cs="Arial"/>
          <w:color w:val="212121"/>
          <w:shd w:val="clear" w:color="auto" w:fill="FFFFFF"/>
          <w:lang w:val="en-US"/>
        </w:rPr>
        <w:t xml:space="preserve"> A, Rand FF, </w:t>
      </w:r>
      <w:proofErr w:type="spellStart"/>
      <w:r w:rsidRPr="00B27AC9">
        <w:rPr>
          <w:rFonts w:ascii="Arial" w:hAnsi="Arial" w:cs="Arial"/>
          <w:color w:val="212121"/>
          <w:shd w:val="clear" w:color="auto" w:fill="FFFFFF"/>
          <w:lang w:val="en-US"/>
        </w:rPr>
        <w:t>Sponseller</w:t>
      </w:r>
      <w:proofErr w:type="spellEnd"/>
      <w:r w:rsidRPr="00B27AC9">
        <w:rPr>
          <w:rFonts w:ascii="Arial" w:hAnsi="Arial" w:cs="Arial"/>
          <w:color w:val="212121"/>
          <w:shd w:val="clear" w:color="auto" w:fill="FFFFFF"/>
          <w:lang w:val="en-US"/>
        </w:rPr>
        <w:t xml:space="preserve"> PD, </w:t>
      </w:r>
      <w:proofErr w:type="spellStart"/>
      <w:r w:rsidRPr="00B27AC9">
        <w:rPr>
          <w:rFonts w:ascii="Arial" w:hAnsi="Arial" w:cs="Arial"/>
          <w:color w:val="212121"/>
          <w:shd w:val="clear" w:color="auto" w:fill="FFFFFF"/>
          <w:lang w:val="en-US"/>
        </w:rPr>
        <w:t>Parazin</w:t>
      </w:r>
      <w:proofErr w:type="spellEnd"/>
      <w:r w:rsidRPr="00B27AC9">
        <w:rPr>
          <w:rFonts w:ascii="Arial" w:hAnsi="Arial" w:cs="Arial"/>
          <w:color w:val="212121"/>
          <w:shd w:val="clear" w:color="auto" w:fill="FFFFFF"/>
          <w:lang w:val="en-US"/>
        </w:rPr>
        <w:t xml:space="preserve"> SJ, Khanna AJ, </w:t>
      </w:r>
      <w:proofErr w:type="spellStart"/>
      <w:r w:rsidRPr="00B27AC9">
        <w:rPr>
          <w:rFonts w:ascii="Arial" w:hAnsi="Arial" w:cs="Arial"/>
          <w:color w:val="212121"/>
          <w:shd w:val="clear" w:color="auto" w:fill="FFFFFF"/>
          <w:lang w:val="en-US"/>
        </w:rPr>
        <w:t>Kebaish</w:t>
      </w:r>
      <w:proofErr w:type="spellEnd"/>
      <w:r w:rsidRPr="00B27AC9">
        <w:rPr>
          <w:rFonts w:ascii="Arial" w:hAnsi="Arial" w:cs="Arial"/>
          <w:color w:val="212121"/>
          <w:shd w:val="clear" w:color="auto" w:fill="FFFFFF"/>
          <w:lang w:val="en-US"/>
        </w:rPr>
        <w:t xml:space="preserve"> KM, Stinson JT, Riley LH 3rd. Pelvic fixation in spine surgery. Historical overview, </w:t>
      </w:r>
      <w:r w:rsidRPr="00B27AC9">
        <w:rPr>
          <w:rFonts w:ascii="Arial" w:hAnsi="Arial" w:cs="Arial"/>
          <w:color w:val="212121"/>
          <w:shd w:val="clear" w:color="auto" w:fill="FFFFFF"/>
          <w:lang w:val="en-US"/>
        </w:rPr>
        <w:lastRenderedPageBreak/>
        <w:t xml:space="preserve">indications, biomechanical relevance, and current techniques. </w:t>
      </w:r>
      <w:r w:rsidRPr="00B27AC9">
        <w:rPr>
          <w:rFonts w:ascii="Arial" w:hAnsi="Arial" w:cs="Arial"/>
          <w:color w:val="212121"/>
          <w:shd w:val="clear" w:color="auto" w:fill="FFFFFF"/>
        </w:rPr>
        <w:t xml:space="preserve">J </w:t>
      </w:r>
      <w:proofErr w:type="spellStart"/>
      <w:r w:rsidRPr="00B27AC9">
        <w:rPr>
          <w:rFonts w:ascii="Arial" w:hAnsi="Arial" w:cs="Arial"/>
          <w:color w:val="212121"/>
          <w:shd w:val="clear" w:color="auto" w:fill="FFFFFF"/>
        </w:rPr>
        <w:t>Bone</w:t>
      </w:r>
      <w:proofErr w:type="spellEnd"/>
      <w:r w:rsidRPr="00B27AC9">
        <w:rPr>
          <w:rFonts w:ascii="Arial" w:hAnsi="Arial" w:cs="Arial"/>
          <w:color w:val="212121"/>
          <w:shd w:val="clear" w:color="auto" w:fill="FFFFFF"/>
        </w:rPr>
        <w:t xml:space="preserve"> Joint </w:t>
      </w:r>
      <w:proofErr w:type="spellStart"/>
      <w:r w:rsidRPr="00B27AC9">
        <w:rPr>
          <w:rFonts w:ascii="Arial" w:hAnsi="Arial" w:cs="Arial"/>
          <w:color w:val="000000"/>
          <w:shd w:val="clear" w:color="auto" w:fill="FFFFFF"/>
        </w:rPr>
        <w:t>Surg</w:t>
      </w:r>
      <w:proofErr w:type="spellEnd"/>
      <w:r w:rsidRPr="00B27AC9">
        <w:rPr>
          <w:rFonts w:ascii="Arial" w:hAnsi="Arial" w:cs="Arial"/>
          <w:color w:val="000000"/>
          <w:shd w:val="clear" w:color="auto" w:fill="FFFFFF"/>
        </w:rPr>
        <w:t xml:space="preserve"> Am. 2005</w:t>
      </w:r>
    </w:p>
    <w:p w14:paraId="4652FAF0" w14:textId="77777777" w:rsidR="00B27AC9" w:rsidRPr="00B27AC9" w:rsidRDefault="00B27AC9" w:rsidP="00B27AC9">
      <w:pPr>
        <w:numPr>
          <w:ilvl w:val="0"/>
          <w:numId w:val="1"/>
        </w:numPr>
        <w:spacing w:before="240" w:after="240" w:line="480" w:lineRule="auto"/>
        <w:ind w:left="360"/>
        <w:jc w:val="both"/>
        <w:textAlignment w:val="baseline"/>
        <w:rPr>
          <w:rFonts w:ascii="Arial" w:hAnsi="Arial" w:cs="Arial"/>
          <w:color w:val="000000"/>
        </w:rPr>
      </w:pPr>
      <w:proofErr w:type="spellStart"/>
      <w:r w:rsidRPr="00B27AC9">
        <w:rPr>
          <w:rFonts w:ascii="Arial" w:hAnsi="Arial" w:cs="Arial"/>
          <w:color w:val="000000"/>
          <w:lang w:val="en-US"/>
        </w:rPr>
        <w:t>Sponseller</w:t>
      </w:r>
      <w:proofErr w:type="spellEnd"/>
      <w:r w:rsidRPr="00B27AC9">
        <w:rPr>
          <w:rFonts w:ascii="Arial" w:hAnsi="Arial" w:cs="Arial"/>
          <w:color w:val="000000"/>
          <w:lang w:val="en-US"/>
        </w:rPr>
        <w:t xml:space="preserve"> PD. The S2 portal to the ilium. </w:t>
      </w:r>
      <w:proofErr w:type="spellStart"/>
      <w:r w:rsidRPr="00B27AC9">
        <w:rPr>
          <w:rFonts w:ascii="Arial" w:hAnsi="Arial" w:cs="Arial"/>
          <w:color w:val="000000"/>
        </w:rPr>
        <w:t>Roundtables</w:t>
      </w:r>
      <w:proofErr w:type="spellEnd"/>
      <w:r w:rsidRPr="00B27AC9">
        <w:rPr>
          <w:rFonts w:ascii="Arial" w:hAnsi="Arial" w:cs="Arial"/>
          <w:color w:val="000000"/>
        </w:rPr>
        <w:t xml:space="preserve"> </w:t>
      </w:r>
      <w:proofErr w:type="spellStart"/>
      <w:r w:rsidRPr="00B27AC9">
        <w:rPr>
          <w:rFonts w:ascii="Arial" w:hAnsi="Arial" w:cs="Arial"/>
          <w:color w:val="000000"/>
        </w:rPr>
        <w:t>Spine</w:t>
      </w:r>
      <w:proofErr w:type="spellEnd"/>
      <w:r w:rsidRPr="00B27AC9">
        <w:rPr>
          <w:rFonts w:ascii="Arial" w:hAnsi="Arial" w:cs="Arial"/>
          <w:color w:val="000000"/>
        </w:rPr>
        <w:t xml:space="preserve"> </w:t>
      </w:r>
      <w:proofErr w:type="spellStart"/>
      <w:r w:rsidRPr="00B27AC9">
        <w:rPr>
          <w:rFonts w:ascii="Arial" w:hAnsi="Arial" w:cs="Arial"/>
          <w:color w:val="000000"/>
        </w:rPr>
        <w:t>Surg</w:t>
      </w:r>
      <w:proofErr w:type="spellEnd"/>
      <w:r w:rsidRPr="00B27AC9">
        <w:rPr>
          <w:rFonts w:ascii="Arial" w:hAnsi="Arial" w:cs="Arial"/>
          <w:color w:val="000000"/>
        </w:rPr>
        <w:t xml:space="preserve"> </w:t>
      </w:r>
      <w:proofErr w:type="gramStart"/>
      <w:r w:rsidRPr="00B27AC9">
        <w:rPr>
          <w:rFonts w:ascii="Arial" w:hAnsi="Arial" w:cs="Arial"/>
          <w:color w:val="000000"/>
        </w:rPr>
        <w:t>2007;2:83</w:t>
      </w:r>
      <w:proofErr w:type="gramEnd"/>
      <w:r w:rsidRPr="00B27AC9">
        <w:rPr>
          <w:rFonts w:ascii="Arial" w:hAnsi="Arial" w:cs="Arial"/>
          <w:color w:val="000000"/>
        </w:rPr>
        <w:t>e7.</w:t>
      </w:r>
    </w:p>
    <w:p w14:paraId="7871AA84"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rPr>
      </w:pPr>
      <w:proofErr w:type="spellStart"/>
      <w:r w:rsidRPr="00B27AC9">
        <w:rPr>
          <w:rFonts w:ascii="Arial" w:hAnsi="Arial" w:cs="Arial"/>
          <w:color w:val="000000"/>
          <w:lang w:val="en-US"/>
        </w:rPr>
        <w:t>Olafsson</w:t>
      </w:r>
      <w:proofErr w:type="spellEnd"/>
      <w:r w:rsidRPr="00B27AC9">
        <w:rPr>
          <w:rFonts w:ascii="Arial" w:hAnsi="Arial" w:cs="Arial"/>
          <w:color w:val="000000"/>
          <w:lang w:val="en-US"/>
        </w:rPr>
        <w:t xml:space="preserve"> Y, </w:t>
      </w:r>
      <w:proofErr w:type="spellStart"/>
      <w:r w:rsidRPr="00B27AC9">
        <w:rPr>
          <w:rFonts w:ascii="Arial" w:hAnsi="Arial" w:cs="Arial"/>
          <w:color w:val="000000"/>
          <w:lang w:val="en-US"/>
        </w:rPr>
        <w:t>Saraste</w:t>
      </w:r>
      <w:proofErr w:type="spellEnd"/>
      <w:r w:rsidRPr="00B27AC9">
        <w:rPr>
          <w:rFonts w:ascii="Arial" w:hAnsi="Arial" w:cs="Arial"/>
          <w:color w:val="000000"/>
          <w:lang w:val="en-US"/>
        </w:rPr>
        <w:t xml:space="preserve"> H, Al-</w:t>
      </w:r>
      <w:proofErr w:type="spellStart"/>
      <w:r w:rsidRPr="00B27AC9">
        <w:rPr>
          <w:rFonts w:ascii="Arial" w:hAnsi="Arial" w:cs="Arial"/>
          <w:color w:val="000000"/>
          <w:lang w:val="en-US"/>
        </w:rPr>
        <w:t>Dabbagh</w:t>
      </w:r>
      <w:proofErr w:type="spellEnd"/>
      <w:r w:rsidRPr="00B27AC9">
        <w:rPr>
          <w:rFonts w:ascii="Arial" w:hAnsi="Arial" w:cs="Arial"/>
          <w:color w:val="000000"/>
          <w:lang w:val="en-US"/>
        </w:rPr>
        <w:t xml:space="preserve"> Z. Brace treatment in neuromuscular spine deformity. </w:t>
      </w:r>
      <w:r w:rsidRPr="00B27AC9">
        <w:rPr>
          <w:rFonts w:ascii="Arial" w:hAnsi="Arial" w:cs="Arial"/>
          <w:color w:val="000000"/>
        </w:rPr>
        <w:t xml:space="preserve">J </w:t>
      </w:r>
      <w:proofErr w:type="spellStart"/>
      <w:r w:rsidRPr="00B27AC9">
        <w:rPr>
          <w:rFonts w:ascii="Arial" w:hAnsi="Arial" w:cs="Arial"/>
          <w:color w:val="000000"/>
        </w:rPr>
        <w:t>Pediatr</w:t>
      </w:r>
      <w:proofErr w:type="spellEnd"/>
      <w:r w:rsidRPr="00B27AC9">
        <w:rPr>
          <w:rFonts w:ascii="Arial" w:hAnsi="Arial" w:cs="Arial"/>
          <w:color w:val="000000"/>
        </w:rPr>
        <w:t xml:space="preserve"> </w:t>
      </w:r>
      <w:proofErr w:type="spellStart"/>
      <w:r w:rsidRPr="00B27AC9">
        <w:rPr>
          <w:rFonts w:ascii="Arial" w:hAnsi="Arial" w:cs="Arial"/>
          <w:color w:val="000000"/>
        </w:rPr>
        <w:t>Orthop</w:t>
      </w:r>
      <w:proofErr w:type="spellEnd"/>
      <w:r w:rsidRPr="00B27AC9">
        <w:rPr>
          <w:rFonts w:ascii="Arial" w:hAnsi="Arial" w:cs="Arial"/>
          <w:color w:val="000000"/>
        </w:rPr>
        <w:t xml:space="preserve"> </w:t>
      </w:r>
      <w:proofErr w:type="gramStart"/>
      <w:r w:rsidRPr="00B27AC9">
        <w:rPr>
          <w:rFonts w:ascii="Arial" w:hAnsi="Arial" w:cs="Arial"/>
          <w:color w:val="000000"/>
        </w:rPr>
        <w:t>1999;19:376</w:t>
      </w:r>
      <w:proofErr w:type="gramEnd"/>
      <w:r w:rsidRPr="00B27AC9">
        <w:rPr>
          <w:rFonts w:ascii="Arial" w:hAnsi="Arial" w:cs="Arial"/>
          <w:color w:val="000000"/>
        </w:rPr>
        <w:t>-9.</w:t>
      </w:r>
    </w:p>
    <w:p w14:paraId="3BA78848" w14:textId="77777777" w:rsidR="00B27AC9" w:rsidRPr="00B27AC9" w:rsidRDefault="00B27AC9" w:rsidP="00B27AC9">
      <w:pPr>
        <w:numPr>
          <w:ilvl w:val="0"/>
          <w:numId w:val="1"/>
        </w:numPr>
        <w:spacing w:line="480" w:lineRule="auto"/>
        <w:ind w:left="360"/>
        <w:jc w:val="both"/>
        <w:textAlignment w:val="baseline"/>
        <w:rPr>
          <w:rFonts w:ascii="Arial" w:hAnsi="Arial" w:cs="Arial"/>
          <w:color w:val="000000"/>
        </w:rPr>
      </w:pPr>
      <w:proofErr w:type="spellStart"/>
      <w:r w:rsidRPr="00B27AC9">
        <w:rPr>
          <w:rFonts w:ascii="Arial" w:hAnsi="Arial" w:cs="Arial"/>
          <w:color w:val="000000"/>
          <w:lang w:val="en-US"/>
        </w:rPr>
        <w:t>Peelle</w:t>
      </w:r>
      <w:proofErr w:type="spellEnd"/>
      <w:r w:rsidRPr="00B27AC9">
        <w:rPr>
          <w:rFonts w:ascii="Arial" w:hAnsi="Arial" w:cs="Arial"/>
          <w:color w:val="000000"/>
          <w:lang w:val="en-US"/>
        </w:rPr>
        <w:t xml:space="preserve"> MW, </w:t>
      </w:r>
      <w:proofErr w:type="spellStart"/>
      <w:r w:rsidRPr="00B27AC9">
        <w:rPr>
          <w:rFonts w:ascii="Arial" w:hAnsi="Arial" w:cs="Arial"/>
          <w:color w:val="000000"/>
          <w:lang w:val="en-US"/>
        </w:rPr>
        <w:t>Lenke</w:t>
      </w:r>
      <w:proofErr w:type="spellEnd"/>
      <w:r w:rsidRPr="00B27AC9">
        <w:rPr>
          <w:rFonts w:ascii="Arial" w:hAnsi="Arial" w:cs="Arial"/>
          <w:color w:val="000000"/>
          <w:lang w:val="en-US"/>
        </w:rPr>
        <w:t xml:space="preserve"> LG, Bridwell KH, et al. Comparison of pelvic fixation techniques in neuromuscular spinal deformity correction: Galveston rod versus iliac and lumbosacral screws. </w:t>
      </w:r>
      <w:proofErr w:type="spellStart"/>
      <w:r w:rsidRPr="00B27AC9">
        <w:rPr>
          <w:rFonts w:ascii="Arial" w:hAnsi="Arial" w:cs="Arial"/>
          <w:color w:val="000000"/>
        </w:rPr>
        <w:t>Spine</w:t>
      </w:r>
      <w:proofErr w:type="spellEnd"/>
      <w:r w:rsidRPr="00B27AC9">
        <w:rPr>
          <w:rFonts w:ascii="Arial" w:hAnsi="Arial" w:cs="Arial"/>
          <w:color w:val="000000"/>
        </w:rPr>
        <w:t xml:space="preserve"> (</w:t>
      </w:r>
      <w:proofErr w:type="spellStart"/>
      <w:r w:rsidRPr="00B27AC9">
        <w:rPr>
          <w:rFonts w:ascii="Arial" w:hAnsi="Arial" w:cs="Arial"/>
          <w:color w:val="000000"/>
        </w:rPr>
        <w:t>Phila</w:t>
      </w:r>
      <w:proofErr w:type="spellEnd"/>
      <w:r w:rsidRPr="00B27AC9">
        <w:rPr>
          <w:rFonts w:ascii="Arial" w:hAnsi="Arial" w:cs="Arial"/>
          <w:color w:val="000000"/>
        </w:rPr>
        <w:t xml:space="preserve"> </w:t>
      </w:r>
      <w:proofErr w:type="spellStart"/>
      <w:r w:rsidRPr="00B27AC9">
        <w:rPr>
          <w:rFonts w:ascii="Arial" w:hAnsi="Arial" w:cs="Arial"/>
          <w:color w:val="000000"/>
        </w:rPr>
        <w:t>Pa</w:t>
      </w:r>
      <w:proofErr w:type="spellEnd"/>
      <w:r w:rsidRPr="00B27AC9">
        <w:rPr>
          <w:rFonts w:ascii="Arial" w:hAnsi="Arial" w:cs="Arial"/>
          <w:color w:val="000000"/>
        </w:rPr>
        <w:t xml:space="preserve"> 1976) </w:t>
      </w:r>
      <w:proofErr w:type="gramStart"/>
      <w:r w:rsidRPr="00B27AC9">
        <w:rPr>
          <w:rFonts w:ascii="Arial" w:hAnsi="Arial" w:cs="Arial"/>
          <w:color w:val="000000"/>
        </w:rPr>
        <w:t>2006;31:2392</w:t>
      </w:r>
      <w:proofErr w:type="gramEnd"/>
      <w:r w:rsidRPr="00B27AC9">
        <w:rPr>
          <w:rFonts w:ascii="Arial" w:hAnsi="Arial" w:cs="Arial"/>
          <w:color w:val="000000"/>
        </w:rPr>
        <w:t>-8.</w:t>
      </w:r>
    </w:p>
    <w:p w14:paraId="25241597" w14:textId="77777777" w:rsidR="00B27AC9" w:rsidRPr="00B27AC9" w:rsidRDefault="00B27AC9" w:rsidP="00B27AC9">
      <w:pPr>
        <w:numPr>
          <w:ilvl w:val="0"/>
          <w:numId w:val="1"/>
        </w:numPr>
        <w:spacing w:line="480" w:lineRule="auto"/>
        <w:ind w:left="360"/>
        <w:jc w:val="both"/>
        <w:textAlignment w:val="baseline"/>
        <w:rPr>
          <w:rFonts w:ascii="Arial" w:hAnsi="Arial" w:cs="Arial"/>
          <w:color w:val="000000"/>
        </w:rPr>
      </w:pPr>
      <w:r w:rsidRPr="00B27AC9">
        <w:rPr>
          <w:rFonts w:ascii="Arial" w:hAnsi="Arial" w:cs="Arial"/>
          <w:color w:val="000000"/>
          <w:lang w:val="en-US"/>
        </w:rPr>
        <w:t xml:space="preserve">Neustadt JB, </w:t>
      </w:r>
      <w:proofErr w:type="spellStart"/>
      <w:r w:rsidRPr="00B27AC9">
        <w:rPr>
          <w:rFonts w:ascii="Arial" w:hAnsi="Arial" w:cs="Arial"/>
          <w:color w:val="000000"/>
          <w:lang w:val="en-US"/>
        </w:rPr>
        <w:t>Shufflebarger</w:t>
      </w:r>
      <w:proofErr w:type="spellEnd"/>
      <w:r w:rsidRPr="00B27AC9">
        <w:rPr>
          <w:rFonts w:ascii="Arial" w:hAnsi="Arial" w:cs="Arial"/>
          <w:color w:val="000000"/>
          <w:lang w:val="en-US"/>
        </w:rPr>
        <w:t xml:space="preserve"> HL, </w:t>
      </w:r>
      <w:proofErr w:type="spellStart"/>
      <w:r w:rsidRPr="00B27AC9">
        <w:rPr>
          <w:rFonts w:ascii="Arial" w:hAnsi="Arial" w:cs="Arial"/>
          <w:color w:val="000000"/>
          <w:lang w:val="en-US"/>
        </w:rPr>
        <w:t>Cammisa</w:t>
      </w:r>
      <w:proofErr w:type="spellEnd"/>
      <w:r w:rsidRPr="00B27AC9">
        <w:rPr>
          <w:rFonts w:ascii="Arial" w:hAnsi="Arial" w:cs="Arial"/>
          <w:color w:val="000000"/>
          <w:lang w:val="en-US"/>
        </w:rPr>
        <w:t xml:space="preserve"> FP. Spinal fusions to the pelvis augmented by </w:t>
      </w:r>
      <w:proofErr w:type="spellStart"/>
      <w:r w:rsidRPr="00B27AC9">
        <w:rPr>
          <w:rFonts w:ascii="Arial" w:hAnsi="Arial" w:cs="Arial"/>
          <w:color w:val="000000"/>
          <w:lang w:val="en-US"/>
        </w:rPr>
        <w:t>Cotrel-Dubousset</w:t>
      </w:r>
      <w:proofErr w:type="spellEnd"/>
      <w:r w:rsidRPr="00B27AC9">
        <w:rPr>
          <w:rFonts w:ascii="Arial" w:hAnsi="Arial" w:cs="Arial"/>
          <w:color w:val="000000"/>
          <w:lang w:val="en-US"/>
        </w:rPr>
        <w:t xml:space="preserve"> instrumentation for neuromuscular scoliosis. </w:t>
      </w:r>
      <w:r w:rsidRPr="00B27AC9">
        <w:rPr>
          <w:rFonts w:ascii="Arial" w:hAnsi="Arial" w:cs="Arial"/>
          <w:color w:val="000000"/>
        </w:rPr>
        <w:t xml:space="preserve">J </w:t>
      </w:r>
      <w:proofErr w:type="spellStart"/>
      <w:r w:rsidRPr="00B27AC9">
        <w:rPr>
          <w:rFonts w:ascii="Arial" w:hAnsi="Arial" w:cs="Arial"/>
          <w:color w:val="000000"/>
        </w:rPr>
        <w:t>Pediatr</w:t>
      </w:r>
      <w:proofErr w:type="spellEnd"/>
      <w:r w:rsidRPr="00B27AC9">
        <w:rPr>
          <w:rFonts w:ascii="Arial" w:hAnsi="Arial" w:cs="Arial"/>
          <w:color w:val="000000"/>
        </w:rPr>
        <w:t xml:space="preserve"> </w:t>
      </w:r>
      <w:proofErr w:type="spellStart"/>
      <w:r w:rsidRPr="00B27AC9">
        <w:rPr>
          <w:rFonts w:ascii="Arial" w:hAnsi="Arial" w:cs="Arial"/>
          <w:color w:val="000000"/>
        </w:rPr>
        <w:t>Orthop</w:t>
      </w:r>
      <w:proofErr w:type="spellEnd"/>
      <w:r w:rsidRPr="00B27AC9">
        <w:rPr>
          <w:rFonts w:ascii="Arial" w:hAnsi="Arial" w:cs="Arial"/>
          <w:color w:val="000000"/>
        </w:rPr>
        <w:t xml:space="preserve"> </w:t>
      </w:r>
      <w:proofErr w:type="gramStart"/>
      <w:r w:rsidRPr="00B27AC9">
        <w:rPr>
          <w:rFonts w:ascii="Arial" w:hAnsi="Arial" w:cs="Arial"/>
          <w:color w:val="000000"/>
        </w:rPr>
        <w:t>1992;12:465</w:t>
      </w:r>
      <w:proofErr w:type="gramEnd"/>
      <w:r w:rsidRPr="00B27AC9">
        <w:rPr>
          <w:rFonts w:ascii="Arial" w:hAnsi="Arial" w:cs="Arial"/>
          <w:color w:val="000000"/>
        </w:rPr>
        <w:t>-9</w:t>
      </w:r>
    </w:p>
    <w:p w14:paraId="745CF6C1" w14:textId="77777777" w:rsidR="00B27AC9" w:rsidRPr="00B27AC9" w:rsidRDefault="00B27AC9" w:rsidP="00B27AC9">
      <w:pPr>
        <w:numPr>
          <w:ilvl w:val="0"/>
          <w:numId w:val="1"/>
        </w:numPr>
        <w:spacing w:line="480" w:lineRule="auto"/>
        <w:ind w:left="360"/>
        <w:jc w:val="both"/>
        <w:textAlignment w:val="baseline"/>
        <w:rPr>
          <w:rFonts w:ascii="Arial" w:hAnsi="Arial" w:cs="Arial"/>
          <w:color w:val="000000"/>
        </w:rPr>
      </w:pPr>
      <w:r w:rsidRPr="00B27AC9">
        <w:rPr>
          <w:rFonts w:ascii="Arial" w:hAnsi="Arial" w:cs="Arial"/>
          <w:color w:val="000000"/>
          <w:lang w:val="en-US"/>
        </w:rPr>
        <w:t> </w:t>
      </w:r>
      <w:proofErr w:type="spellStart"/>
      <w:r w:rsidRPr="00B27AC9">
        <w:rPr>
          <w:rFonts w:ascii="Arial" w:hAnsi="Arial" w:cs="Arial"/>
          <w:color w:val="000000"/>
          <w:lang w:val="en-US"/>
        </w:rPr>
        <w:t>Arlet</w:t>
      </w:r>
      <w:proofErr w:type="spellEnd"/>
      <w:r w:rsidRPr="00B27AC9">
        <w:rPr>
          <w:rFonts w:ascii="Arial" w:hAnsi="Arial" w:cs="Arial"/>
          <w:color w:val="000000"/>
          <w:lang w:val="en-US"/>
        </w:rPr>
        <w:t xml:space="preserve"> V, Marchesi D, </w:t>
      </w:r>
      <w:proofErr w:type="spellStart"/>
      <w:r w:rsidRPr="00B27AC9">
        <w:rPr>
          <w:rFonts w:ascii="Arial" w:hAnsi="Arial" w:cs="Arial"/>
          <w:color w:val="000000"/>
          <w:lang w:val="en-US"/>
        </w:rPr>
        <w:t>Papin</w:t>
      </w:r>
      <w:proofErr w:type="spellEnd"/>
      <w:r w:rsidRPr="00B27AC9">
        <w:rPr>
          <w:rFonts w:ascii="Arial" w:hAnsi="Arial" w:cs="Arial"/>
          <w:color w:val="000000"/>
          <w:lang w:val="en-US"/>
        </w:rPr>
        <w:t xml:space="preserve"> P, et al. The “</w:t>
      </w:r>
      <w:proofErr w:type="spellStart"/>
      <w:proofErr w:type="gramStart"/>
      <w:r w:rsidRPr="00B27AC9">
        <w:rPr>
          <w:rFonts w:ascii="Arial" w:hAnsi="Arial" w:cs="Arial"/>
          <w:color w:val="000000"/>
          <w:lang w:val="en-US"/>
        </w:rPr>
        <w:t>MW”sacropelvic</w:t>
      </w:r>
      <w:proofErr w:type="spellEnd"/>
      <w:proofErr w:type="gramEnd"/>
      <w:r w:rsidRPr="00B27AC9">
        <w:rPr>
          <w:rFonts w:ascii="Arial" w:hAnsi="Arial" w:cs="Arial"/>
          <w:color w:val="000000"/>
          <w:lang w:val="en-US"/>
        </w:rPr>
        <w:t xml:space="preserve"> construct: an enhanced fixation of the lumbosacral junction in neuromuscular pelvic obliquity. </w:t>
      </w:r>
      <w:proofErr w:type="spellStart"/>
      <w:r w:rsidRPr="00B27AC9">
        <w:rPr>
          <w:rFonts w:ascii="Arial" w:hAnsi="Arial" w:cs="Arial"/>
          <w:color w:val="000000"/>
        </w:rPr>
        <w:t>Eur</w:t>
      </w:r>
      <w:proofErr w:type="spellEnd"/>
      <w:r w:rsidRPr="00B27AC9">
        <w:rPr>
          <w:rFonts w:ascii="Arial" w:hAnsi="Arial" w:cs="Arial"/>
          <w:color w:val="000000"/>
        </w:rPr>
        <w:t xml:space="preserve"> </w:t>
      </w:r>
      <w:proofErr w:type="spellStart"/>
      <w:r w:rsidRPr="00B27AC9">
        <w:rPr>
          <w:rFonts w:ascii="Arial" w:hAnsi="Arial" w:cs="Arial"/>
          <w:color w:val="000000"/>
        </w:rPr>
        <w:t>Spine</w:t>
      </w:r>
      <w:proofErr w:type="spellEnd"/>
      <w:r w:rsidRPr="00B27AC9">
        <w:rPr>
          <w:rFonts w:ascii="Arial" w:hAnsi="Arial" w:cs="Arial"/>
          <w:color w:val="000000"/>
        </w:rPr>
        <w:t xml:space="preserve"> J </w:t>
      </w:r>
      <w:proofErr w:type="gramStart"/>
      <w:r w:rsidRPr="00B27AC9">
        <w:rPr>
          <w:rFonts w:ascii="Arial" w:hAnsi="Arial" w:cs="Arial"/>
          <w:color w:val="000000"/>
        </w:rPr>
        <w:t>1999;8:229</w:t>
      </w:r>
      <w:proofErr w:type="gramEnd"/>
      <w:r w:rsidRPr="00B27AC9">
        <w:rPr>
          <w:rFonts w:ascii="Arial" w:hAnsi="Arial" w:cs="Arial"/>
          <w:color w:val="000000"/>
        </w:rPr>
        <w:t>-31</w:t>
      </w:r>
    </w:p>
    <w:p w14:paraId="2D732D18" w14:textId="77777777" w:rsidR="00B27AC9" w:rsidRPr="00B27AC9" w:rsidRDefault="00B27AC9" w:rsidP="00B27AC9">
      <w:pPr>
        <w:numPr>
          <w:ilvl w:val="0"/>
          <w:numId w:val="1"/>
        </w:numPr>
        <w:spacing w:line="480" w:lineRule="auto"/>
        <w:ind w:left="360"/>
        <w:jc w:val="both"/>
        <w:textAlignment w:val="baseline"/>
        <w:rPr>
          <w:rFonts w:ascii="Arial" w:hAnsi="Arial" w:cs="Arial"/>
          <w:color w:val="000000"/>
        </w:rPr>
      </w:pPr>
      <w:proofErr w:type="spellStart"/>
      <w:r w:rsidRPr="00B27AC9">
        <w:rPr>
          <w:rFonts w:ascii="Arial" w:hAnsi="Arial" w:cs="Arial"/>
          <w:color w:val="212121"/>
          <w:shd w:val="clear" w:color="auto" w:fill="FFFFFF"/>
        </w:rPr>
        <w:t>Ravindra</w:t>
      </w:r>
      <w:proofErr w:type="spellEnd"/>
      <w:r w:rsidRPr="00B27AC9">
        <w:rPr>
          <w:rFonts w:ascii="Arial" w:hAnsi="Arial" w:cs="Arial"/>
          <w:color w:val="212121"/>
          <w:shd w:val="clear" w:color="auto" w:fill="FFFFFF"/>
        </w:rPr>
        <w:t xml:space="preserve"> VM, </w:t>
      </w:r>
      <w:proofErr w:type="spellStart"/>
      <w:r w:rsidRPr="00B27AC9">
        <w:rPr>
          <w:rFonts w:ascii="Arial" w:hAnsi="Arial" w:cs="Arial"/>
          <w:color w:val="212121"/>
          <w:shd w:val="clear" w:color="auto" w:fill="FFFFFF"/>
        </w:rPr>
        <w:t>Mazur</w:t>
      </w:r>
      <w:proofErr w:type="spellEnd"/>
      <w:r w:rsidRPr="00B27AC9">
        <w:rPr>
          <w:rFonts w:ascii="Arial" w:hAnsi="Arial" w:cs="Arial"/>
          <w:color w:val="212121"/>
          <w:shd w:val="clear" w:color="auto" w:fill="FFFFFF"/>
        </w:rPr>
        <w:t xml:space="preserve"> MD, </w:t>
      </w:r>
      <w:proofErr w:type="spellStart"/>
      <w:r w:rsidRPr="00B27AC9">
        <w:rPr>
          <w:rFonts w:ascii="Arial" w:hAnsi="Arial" w:cs="Arial"/>
          <w:color w:val="212121"/>
          <w:shd w:val="clear" w:color="auto" w:fill="FFFFFF"/>
        </w:rPr>
        <w:t>Brockmeyer</w:t>
      </w:r>
      <w:proofErr w:type="spellEnd"/>
      <w:r w:rsidRPr="00B27AC9">
        <w:rPr>
          <w:rFonts w:ascii="Arial" w:hAnsi="Arial" w:cs="Arial"/>
          <w:color w:val="212121"/>
          <w:shd w:val="clear" w:color="auto" w:fill="FFFFFF"/>
        </w:rPr>
        <w:t xml:space="preserve"> DL, </w:t>
      </w:r>
      <w:proofErr w:type="spellStart"/>
      <w:r w:rsidRPr="00B27AC9">
        <w:rPr>
          <w:rFonts w:ascii="Arial" w:hAnsi="Arial" w:cs="Arial"/>
          <w:color w:val="212121"/>
          <w:shd w:val="clear" w:color="auto" w:fill="FFFFFF"/>
        </w:rPr>
        <w:t>Kraus</w:t>
      </w:r>
      <w:proofErr w:type="spellEnd"/>
      <w:r w:rsidRPr="00B27AC9">
        <w:rPr>
          <w:rFonts w:ascii="Arial" w:hAnsi="Arial" w:cs="Arial"/>
          <w:color w:val="212121"/>
          <w:shd w:val="clear" w:color="auto" w:fill="FFFFFF"/>
        </w:rPr>
        <w:t xml:space="preserve"> KL, </w:t>
      </w:r>
      <w:proofErr w:type="spellStart"/>
      <w:r w:rsidRPr="00B27AC9">
        <w:rPr>
          <w:rFonts w:ascii="Arial" w:hAnsi="Arial" w:cs="Arial"/>
          <w:color w:val="212121"/>
          <w:shd w:val="clear" w:color="auto" w:fill="FFFFFF"/>
        </w:rPr>
        <w:t>Ropper</w:t>
      </w:r>
      <w:proofErr w:type="spellEnd"/>
      <w:r w:rsidRPr="00B27AC9">
        <w:rPr>
          <w:rFonts w:ascii="Arial" w:hAnsi="Arial" w:cs="Arial"/>
          <w:color w:val="212121"/>
          <w:shd w:val="clear" w:color="auto" w:fill="FFFFFF"/>
        </w:rPr>
        <w:t xml:space="preserve"> AE, Hanson DS, Dahl BT. </w:t>
      </w:r>
      <w:r w:rsidRPr="00B27AC9">
        <w:rPr>
          <w:rFonts w:ascii="Arial" w:hAnsi="Arial" w:cs="Arial"/>
          <w:color w:val="212121"/>
          <w:shd w:val="clear" w:color="auto" w:fill="FFFFFF"/>
          <w:lang w:val="en-US"/>
        </w:rPr>
        <w:t xml:space="preserve">Clinical Effectiveness of S2-Alar Iliac Screws in Spinopelvic Fixation in Pediatric Neuromuscular Scoliosis: Systematic Literature Review. </w:t>
      </w:r>
      <w:r w:rsidRPr="00B27AC9">
        <w:rPr>
          <w:rFonts w:ascii="Arial" w:hAnsi="Arial" w:cs="Arial"/>
          <w:color w:val="212121"/>
          <w:shd w:val="clear" w:color="auto" w:fill="FFFFFF"/>
        </w:rPr>
        <w:t xml:space="preserve">Global </w:t>
      </w:r>
      <w:proofErr w:type="spellStart"/>
      <w:r w:rsidRPr="00B27AC9">
        <w:rPr>
          <w:rFonts w:ascii="Arial" w:hAnsi="Arial" w:cs="Arial"/>
          <w:color w:val="212121"/>
          <w:shd w:val="clear" w:color="auto" w:fill="FFFFFF"/>
        </w:rPr>
        <w:t>Spine</w:t>
      </w:r>
      <w:proofErr w:type="spellEnd"/>
      <w:r w:rsidRPr="00B27AC9">
        <w:rPr>
          <w:rFonts w:ascii="Arial" w:hAnsi="Arial" w:cs="Arial"/>
          <w:color w:val="212121"/>
          <w:shd w:val="clear" w:color="auto" w:fill="FFFFFF"/>
        </w:rPr>
        <w:t xml:space="preserve"> J. 2020 Dec;10(8):1066-1074</w:t>
      </w:r>
      <w:r w:rsidRPr="00B27AC9">
        <w:rPr>
          <w:rFonts w:ascii="Arial" w:hAnsi="Arial" w:cs="Arial"/>
          <w:color w:val="000000"/>
        </w:rPr>
        <w:t>.</w:t>
      </w:r>
    </w:p>
    <w:p w14:paraId="3695C99C" w14:textId="77777777" w:rsidR="00B27AC9" w:rsidRPr="00B27AC9" w:rsidRDefault="00B27AC9" w:rsidP="00B27AC9">
      <w:pPr>
        <w:numPr>
          <w:ilvl w:val="0"/>
          <w:numId w:val="1"/>
        </w:numPr>
        <w:spacing w:line="480" w:lineRule="auto"/>
        <w:ind w:left="360"/>
        <w:jc w:val="both"/>
        <w:textAlignment w:val="baseline"/>
        <w:rPr>
          <w:rFonts w:ascii="Arial" w:hAnsi="Arial" w:cs="Arial"/>
          <w:color w:val="000000"/>
        </w:rPr>
      </w:pPr>
      <w:r w:rsidRPr="00B27AC9">
        <w:rPr>
          <w:rFonts w:ascii="Arial" w:hAnsi="Arial" w:cs="Arial"/>
          <w:color w:val="000000"/>
          <w:lang w:val="en-US"/>
        </w:rPr>
        <w:t> </w:t>
      </w:r>
      <w:proofErr w:type="spellStart"/>
      <w:r w:rsidRPr="00B27AC9">
        <w:rPr>
          <w:rFonts w:ascii="Arial" w:hAnsi="Arial" w:cs="Arial"/>
          <w:color w:val="000000"/>
          <w:lang w:val="en-US"/>
        </w:rPr>
        <w:t>Sponseller</w:t>
      </w:r>
      <w:proofErr w:type="spellEnd"/>
      <w:r w:rsidRPr="00B27AC9">
        <w:rPr>
          <w:rFonts w:ascii="Arial" w:hAnsi="Arial" w:cs="Arial"/>
          <w:color w:val="000000"/>
          <w:lang w:val="en-US"/>
        </w:rPr>
        <w:t xml:space="preserve"> PD, Zimmerman RM, Ko PS, et al. </w:t>
      </w:r>
      <w:proofErr w:type="gramStart"/>
      <w:r w:rsidRPr="00B27AC9">
        <w:rPr>
          <w:rFonts w:ascii="Arial" w:hAnsi="Arial" w:cs="Arial"/>
          <w:color w:val="000000"/>
          <w:lang w:val="en-US"/>
        </w:rPr>
        <w:t>Low profile</w:t>
      </w:r>
      <w:proofErr w:type="gramEnd"/>
      <w:r w:rsidRPr="00B27AC9">
        <w:rPr>
          <w:rFonts w:ascii="Arial" w:hAnsi="Arial" w:cs="Arial"/>
          <w:color w:val="000000"/>
          <w:lang w:val="en-US"/>
        </w:rPr>
        <w:t xml:space="preserve"> pelvic fixation with the sacral alar iliac technique in the pediatric population improves results at two- year minimum follow-up. </w:t>
      </w:r>
      <w:proofErr w:type="spellStart"/>
      <w:r w:rsidRPr="00B27AC9">
        <w:rPr>
          <w:rFonts w:ascii="Arial" w:hAnsi="Arial" w:cs="Arial"/>
          <w:color w:val="000000"/>
        </w:rPr>
        <w:t>Spine</w:t>
      </w:r>
      <w:proofErr w:type="spellEnd"/>
      <w:r w:rsidRPr="00B27AC9">
        <w:rPr>
          <w:rFonts w:ascii="Arial" w:hAnsi="Arial" w:cs="Arial"/>
          <w:color w:val="000000"/>
        </w:rPr>
        <w:t xml:space="preserve"> (</w:t>
      </w:r>
      <w:proofErr w:type="spellStart"/>
      <w:r w:rsidRPr="00B27AC9">
        <w:rPr>
          <w:rFonts w:ascii="Arial" w:hAnsi="Arial" w:cs="Arial"/>
          <w:color w:val="000000"/>
        </w:rPr>
        <w:t>Phila</w:t>
      </w:r>
      <w:proofErr w:type="spellEnd"/>
      <w:r w:rsidRPr="00B27AC9">
        <w:rPr>
          <w:rFonts w:ascii="Arial" w:hAnsi="Arial" w:cs="Arial"/>
          <w:color w:val="000000"/>
        </w:rPr>
        <w:t xml:space="preserve"> </w:t>
      </w:r>
      <w:proofErr w:type="spellStart"/>
      <w:r w:rsidRPr="00B27AC9">
        <w:rPr>
          <w:rFonts w:ascii="Arial" w:hAnsi="Arial" w:cs="Arial"/>
          <w:color w:val="000000"/>
        </w:rPr>
        <w:t>Pa</w:t>
      </w:r>
      <w:proofErr w:type="spellEnd"/>
      <w:r w:rsidRPr="00B27AC9">
        <w:rPr>
          <w:rFonts w:ascii="Arial" w:hAnsi="Arial" w:cs="Arial"/>
          <w:color w:val="000000"/>
        </w:rPr>
        <w:t xml:space="preserve"> 1976) </w:t>
      </w:r>
      <w:proofErr w:type="gramStart"/>
      <w:r w:rsidRPr="00B27AC9">
        <w:rPr>
          <w:rFonts w:ascii="Arial" w:hAnsi="Arial" w:cs="Arial"/>
          <w:color w:val="000000"/>
        </w:rPr>
        <w:t>2010;35:1887</w:t>
      </w:r>
      <w:proofErr w:type="gramEnd"/>
      <w:r w:rsidRPr="00B27AC9">
        <w:rPr>
          <w:rFonts w:ascii="Arial" w:hAnsi="Arial" w:cs="Arial"/>
          <w:color w:val="000000"/>
        </w:rPr>
        <w:t>-92</w:t>
      </w:r>
    </w:p>
    <w:p w14:paraId="2B6441FC" w14:textId="77777777" w:rsidR="00B27AC9" w:rsidRPr="00B27AC9" w:rsidRDefault="00B27AC9" w:rsidP="00B27AC9">
      <w:pPr>
        <w:numPr>
          <w:ilvl w:val="0"/>
          <w:numId w:val="1"/>
        </w:numPr>
        <w:spacing w:line="480" w:lineRule="auto"/>
        <w:ind w:left="360"/>
        <w:textAlignment w:val="baseline"/>
        <w:rPr>
          <w:rFonts w:ascii="Arial" w:hAnsi="Arial" w:cs="Arial"/>
          <w:color w:val="000000"/>
        </w:rPr>
      </w:pPr>
      <w:r w:rsidRPr="00B27AC9">
        <w:rPr>
          <w:rFonts w:ascii="Arial" w:hAnsi="Arial" w:cs="Arial"/>
          <w:color w:val="212121"/>
          <w:shd w:val="clear" w:color="auto" w:fill="FFFFFF"/>
          <w:lang w:val="en-US"/>
        </w:rPr>
        <w:lastRenderedPageBreak/>
        <w:t xml:space="preserve"> Jain A, </w:t>
      </w:r>
      <w:proofErr w:type="spellStart"/>
      <w:r w:rsidRPr="00B27AC9">
        <w:rPr>
          <w:rFonts w:ascii="Arial" w:hAnsi="Arial" w:cs="Arial"/>
          <w:color w:val="212121"/>
          <w:shd w:val="clear" w:color="auto" w:fill="FFFFFF"/>
          <w:lang w:val="en-US"/>
        </w:rPr>
        <w:t>Kebaish</w:t>
      </w:r>
      <w:proofErr w:type="spellEnd"/>
      <w:r w:rsidRPr="00B27AC9">
        <w:rPr>
          <w:rFonts w:ascii="Arial" w:hAnsi="Arial" w:cs="Arial"/>
          <w:color w:val="212121"/>
          <w:shd w:val="clear" w:color="auto" w:fill="FFFFFF"/>
          <w:lang w:val="en-US"/>
        </w:rPr>
        <w:t xml:space="preserve"> KM, </w:t>
      </w:r>
      <w:proofErr w:type="spellStart"/>
      <w:r w:rsidRPr="00B27AC9">
        <w:rPr>
          <w:rFonts w:ascii="Arial" w:hAnsi="Arial" w:cs="Arial"/>
          <w:color w:val="212121"/>
          <w:shd w:val="clear" w:color="auto" w:fill="FFFFFF"/>
          <w:lang w:val="en-US"/>
        </w:rPr>
        <w:t>Sponseller</w:t>
      </w:r>
      <w:proofErr w:type="spellEnd"/>
      <w:r w:rsidRPr="00B27AC9">
        <w:rPr>
          <w:rFonts w:ascii="Arial" w:hAnsi="Arial" w:cs="Arial"/>
          <w:color w:val="212121"/>
          <w:shd w:val="clear" w:color="auto" w:fill="FFFFFF"/>
          <w:lang w:val="en-US"/>
        </w:rPr>
        <w:t xml:space="preserve"> PD. Sacral-Alar-Iliac Fixation in Pediatric Deformity: Radiographic Outcomes and Complications. </w:t>
      </w:r>
      <w:proofErr w:type="spellStart"/>
      <w:r w:rsidRPr="00B27AC9">
        <w:rPr>
          <w:rFonts w:ascii="Arial" w:hAnsi="Arial" w:cs="Arial"/>
          <w:color w:val="212121"/>
          <w:shd w:val="clear" w:color="auto" w:fill="FFFFFF"/>
        </w:rPr>
        <w:t>Spine</w:t>
      </w:r>
      <w:proofErr w:type="spellEnd"/>
      <w:r w:rsidRPr="00B27AC9">
        <w:rPr>
          <w:rFonts w:ascii="Arial" w:hAnsi="Arial" w:cs="Arial"/>
          <w:color w:val="212121"/>
          <w:shd w:val="clear" w:color="auto" w:fill="FFFFFF"/>
        </w:rPr>
        <w:t xml:space="preserve"> </w:t>
      </w:r>
      <w:proofErr w:type="spellStart"/>
      <w:r w:rsidRPr="00B27AC9">
        <w:rPr>
          <w:rFonts w:ascii="Arial" w:hAnsi="Arial" w:cs="Arial"/>
          <w:color w:val="212121"/>
          <w:shd w:val="clear" w:color="auto" w:fill="FFFFFF"/>
        </w:rPr>
        <w:t>Deform</w:t>
      </w:r>
      <w:proofErr w:type="spellEnd"/>
      <w:r w:rsidRPr="00B27AC9">
        <w:rPr>
          <w:rFonts w:ascii="Arial" w:hAnsi="Arial" w:cs="Arial"/>
          <w:color w:val="212121"/>
          <w:shd w:val="clear" w:color="auto" w:fill="FFFFFF"/>
        </w:rPr>
        <w:t>. 2016 May;4(3):225-229</w:t>
      </w:r>
    </w:p>
    <w:p w14:paraId="404431FF"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rPr>
      </w:pPr>
      <w:r w:rsidRPr="00B27AC9">
        <w:rPr>
          <w:rFonts w:ascii="Arial" w:hAnsi="Arial" w:cs="Arial"/>
          <w:color w:val="212121"/>
          <w:shd w:val="clear" w:color="auto" w:fill="FFFFFF"/>
        </w:rPr>
        <w:t> </w:t>
      </w:r>
      <w:proofErr w:type="spellStart"/>
      <w:r w:rsidRPr="00B27AC9">
        <w:rPr>
          <w:rFonts w:ascii="Arial" w:hAnsi="Arial" w:cs="Arial"/>
          <w:color w:val="212121"/>
          <w:shd w:val="clear" w:color="auto" w:fill="FFFFFF"/>
        </w:rPr>
        <w:t>Montero</w:t>
      </w:r>
      <w:proofErr w:type="spellEnd"/>
      <w:r w:rsidRPr="00B27AC9">
        <w:rPr>
          <w:rFonts w:ascii="Arial" w:hAnsi="Arial" w:cs="Arial"/>
          <w:color w:val="212121"/>
          <w:shd w:val="clear" w:color="auto" w:fill="FFFFFF"/>
        </w:rPr>
        <w:t xml:space="preserve"> CS, Meneses DA, Alvarado F, Godoy W, </w:t>
      </w:r>
      <w:proofErr w:type="spellStart"/>
      <w:r w:rsidRPr="00B27AC9">
        <w:rPr>
          <w:rFonts w:ascii="Arial" w:hAnsi="Arial" w:cs="Arial"/>
          <w:color w:val="212121"/>
          <w:shd w:val="clear" w:color="auto" w:fill="FFFFFF"/>
        </w:rPr>
        <w:t>Rosero</w:t>
      </w:r>
      <w:proofErr w:type="spellEnd"/>
      <w:r w:rsidRPr="00B27AC9">
        <w:rPr>
          <w:rFonts w:ascii="Arial" w:hAnsi="Arial" w:cs="Arial"/>
          <w:color w:val="212121"/>
          <w:shd w:val="clear" w:color="auto" w:fill="FFFFFF"/>
        </w:rPr>
        <w:t xml:space="preserve"> DI, Ruiz JM. </w:t>
      </w:r>
      <w:r w:rsidRPr="00B27AC9">
        <w:rPr>
          <w:rFonts w:ascii="Arial" w:hAnsi="Arial" w:cs="Arial"/>
          <w:color w:val="212121"/>
          <w:shd w:val="clear" w:color="auto" w:fill="FFFFFF"/>
          <w:lang w:val="en-US"/>
        </w:rPr>
        <w:t xml:space="preserve">Outcomes and complications of S2 alar iliac fixation technique in patients with neuromuscular scoliosis: experience in a third level pediatric hospital. </w:t>
      </w:r>
      <w:r w:rsidRPr="00B27AC9">
        <w:rPr>
          <w:rFonts w:ascii="Arial" w:hAnsi="Arial" w:cs="Arial"/>
          <w:color w:val="212121"/>
          <w:shd w:val="clear" w:color="auto" w:fill="FFFFFF"/>
        </w:rPr>
        <w:t xml:space="preserve">J </w:t>
      </w:r>
      <w:proofErr w:type="spellStart"/>
      <w:r w:rsidRPr="00B27AC9">
        <w:rPr>
          <w:rFonts w:ascii="Arial" w:hAnsi="Arial" w:cs="Arial"/>
          <w:color w:val="212121"/>
          <w:shd w:val="clear" w:color="auto" w:fill="FFFFFF"/>
        </w:rPr>
        <w:t>Spine</w:t>
      </w:r>
      <w:proofErr w:type="spellEnd"/>
      <w:r w:rsidRPr="00B27AC9">
        <w:rPr>
          <w:rFonts w:ascii="Arial" w:hAnsi="Arial" w:cs="Arial"/>
          <w:color w:val="212121"/>
          <w:shd w:val="clear" w:color="auto" w:fill="FFFFFF"/>
        </w:rPr>
        <w:t xml:space="preserve"> </w:t>
      </w:r>
      <w:proofErr w:type="spellStart"/>
      <w:r w:rsidRPr="00B27AC9">
        <w:rPr>
          <w:rFonts w:ascii="Arial" w:hAnsi="Arial" w:cs="Arial"/>
          <w:color w:val="212121"/>
          <w:shd w:val="clear" w:color="auto" w:fill="FFFFFF"/>
        </w:rPr>
        <w:t>Surg</w:t>
      </w:r>
      <w:proofErr w:type="spellEnd"/>
      <w:r w:rsidRPr="00B27AC9">
        <w:rPr>
          <w:rFonts w:ascii="Arial" w:hAnsi="Arial" w:cs="Arial"/>
          <w:color w:val="212121"/>
          <w:shd w:val="clear" w:color="auto" w:fill="FFFFFF"/>
        </w:rPr>
        <w:t>. 2017 Dec;3(4):519-524.</w:t>
      </w:r>
    </w:p>
    <w:p w14:paraId="133EC820"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rPr>
      </w:pPr>
      <w:r w:rsidRPr="00B27AC9">
        <w:rPr>
          <w:rFonts w:ascii="Arial" w:hAnsi="Arial" w:cs="Arial"/>
          <w:color w:val="212121"/>
          <w:shd w:val="clear" w:color="auto" w:fill="FFFFFF"/>
          <w:lang w:val="en-US"/>
        </w:rPr>
        <w:t xml:space="preserve"> Nakashima H, </w:t>
      </w:r>
      <w:proofErr w:type="spellStart"/>
      <w:r w:rsidRPr="00B27AC9">
        <w:rPr>
          <w:rFonts w:ascii="Arial" w:hAnsi="Arial" w:cs="Arial"/>
          <w:color w:val="212121"/>
          <w:shd w:val="clear" w:color="auto" w:fill="FFFFFF"/>
          <w:lang w:val="en-US"/>
        </w:rPr>
        <w:t>Kanemura</w:t>
      </w:r>
      <w:proofErr w:type="spellEnd"/>
      <w:r w:rsidRPr="00B27AC9">
        <w:rPr>
          <w:rFonts w:ascii="Arial" w:hAnsi="Arial" w:cs="Arial"/>
          <w:color w:val="212121"/>
          <w:shd w:val="clear" w:color="auto" w:fill="FFFFFF"/>
          <w:lang w:val="en-US"/>
        </w:rPr>
        <w:t xml:space="preserve"> T, </w:t>
      </w:r>
      <w:proofErr w:type="spellStart"/>
      <w:r w:rsidRPr="00B27AC9">
        <w:rPr>
          <w:rFonts w:ascii="Arial" w:hAnsi="Arial" w:cs="Arial"/>
          <w:color w:val="212121"/>
          <w:shd w:val="clear" w:color="auto" w:fill="FFFFFF"/>
          <w:lang w:val="en-US"/>
        </w:rPr>
        <w:t>Satake</w:t>
      </w:r>
      <w:proofErr w:type="spellEnd"/>
      <w:r w:rsidRPr="00B27AC9">
        <w:rPr>
          <w:rFonts w:ascii="Arial" w:hAnsi="Arial" w:cs="Arial"/>
          <w:color w:val="212121"/>
          <w:shd w:val="clear" w:color="auto" w:fill="FFFFFF"/>
          <w:lang w:val="en-US"/>
        </w:rPr>
        <w:t xml:space="preserve"> K, Ito K, Ishikawa Y, </w:t>
      </w:r>
      <w:proofErr w:type="spellStart"/>
      <w:r w:rsidRPr="00B27AC9">
        <w:rPr>
          <w:rFonts w:ascii="Arial" w:hAnsi="Arial" w:cs="Arial"/>
          <w:color w:val="212121"/>
          <w:shd w:val="clear" w:color="auto" w:fill="FFFFFF"/>
          <w:lang w:val="en-US"/>
        </w:rPr>
        <w:t>Ouchida</w:t>
      </w:r>
      <w:proofErr w:type="spellEnd"/>
      <w:r w:rsidRPr="00B27AC9">
        <w:rPr>
          <w:rFonts w:ascii="Arial" w:hAnsi="Arial" w:cs="Arial"/>
          <w:color w:val="212121"/>
          <w:shd w:val="clear" w:color="auto" w:fill="FFFFFF"/>
          <w:lang w:val="en-US"/>
        </w:rPr>
        <w:t xml:space="preserve"> J, </w:t>
      </w:r>
      <w:proofErr w:type="spellStart"/>
      <w:r w:rsidRPr="00B27AC9">
        <w:rPr>
          <w:rFonts w:ascii="Arial" w:hAnsi="Arial" w:cs="Arial"/>
          <w:color w:val="212121"/>
          <w:shd w:val="clear" w:color="auto" w:fill="FFFFFF"/>
          <w:lang w:val="en-US"/>
        </w:rPr>
        <w:t>Segi</w:t>
      </w:r>
      <w:proofErr w:type="spellEnd"/>
      <w:r w:rsidRPr="00B27AC9">
        <w:rPr>
          <w:rFonts w:ascii="Arial" w:hAnsi="Arial" w:cs="Arial"/>
          <w:color w:val="212121"/>
          <w:shd w:val="clear" w:color="auto" w:fill="FFFFFF"/>
          <w:lang w:val="en-US"/>
        </w:rPr>
        <w:t xml:space="preserve"> N, Yamaguchi H, </w:t>
      </w:r>
      <w:proofErr w:type="spellStart"/>
      <w:r w:rsidRPr="00B27AC9">
        <w:rPr>
          <w:rFonts w:ascii="Arial" w:hAnsi="Arial" w:cs="Arial"/>
          <w:color w:val="212121"/>
          <w:shd w:val="clear" w:color="auto" w:fill="FFFFFF"/>
          <w:lang w:val="en-US"/>
        </w:rPr>
        <w:t>Imagama</w:t>
      </w:r>
      <w:proofErr w:type="spellEnd"/>
      <w:r w:rsidRPr="00B27AC9">
        <w:rPr>
          <w:rFonts w:ascii="Arial" w:hAnsi="Arial" w:cs="Arial"/>
          <w:color w:val="212121"/>
          <w:shd w:val="clear" w:color="auto" w:fill="FFFFFF"/>
          <w:lang w:val="en-US"/>
        </w:rPr>
        <w:t xml:space="preserve"> S. The Prevalence and Risk Factors for S2 Alar-Iliac Screw Loosening with a Minimum 2-Year Follow-up. </w:t>
      </w:r>
      <w:proofErr w:type="spellStart"/>
      <w:r w:rsidRPr="00B27AC9">
        <w:rPr>
          <w:rFonts w:ascii="Arial" w:hAnsi="Arial" w:cs="Arial"/>
          <w:color w:val="212121"/>
          <w:shd w:val="clear" w:color="auto" w:fill="FFFFFF"/>
        </w:rPr>
        <w:t>Asian</w:t>
      </w:r>
      <w:proofErr w:type="spellEnd"/>
      <w:r w:rsidRPr="00B27AC9">
        <w:rPr>
          <w:rFonts w:ascii="Arial" w:hAnsi="Arial" w:cs="Arial"/>
          <w:color w:val="212121"/>
          <w:shd w:val="clear" w:color="auto" w:fill="FFFFFF"/>
        </w:rPr>
        <w:t xml:space="preserve"> </w:t>
      </w:r>
      <w:proofErr w:type="spellStart"/>
      <w:r w:rsidRPr="00B27AC9">
        <w:rPr>
          <w:rFonts w:ascii="Arial" w:hAnsi="Arial" w:cs="Arial"/>
          <w:color w:val="212121"/>
          <w:shd w:val="clear" w:color="auto" w:fill="FFFFFF"/>
        </w:rPr>
        <w:t>Spine</w:t>
      </w:r>
      <w:proofErr w:type="spellEnd"/>
      <w:r w:rsidRPr="00B27AC9">
        <w:rPr>
          <w:rFonts w:ascii="Arial" w:hAnsi="Arial" w:cs="Arial"/>
          <w:color w:val="212121"/>
          <w:shd w:val="clear" w:color="auto" w:fill="FFFFFF"/>
        </w:rPr>
        <w:t xml:space="preserve"> J. 2020 Apr;14(2):177-184</w:t>
      </w:r>
    </w:p>
    <w:p w14:paraId="6A9027D9"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212121"/>
        </w:rPr>
      </w:pPr>
      <w:r w:rsidRPr="00B27AC9">
        <w:rPr>
          <w:rFonts w:ascii="Arial" w:hAnsi="Arial" w:cs="Arial"/>
          <w:color w:val="212121"/>
          <w:shd w:val="clear" w:color="auto" w:fill="FFFFFF"/>
          <w:lang w:val="en-US"/>
        </w:rPr>
        <w:t xml:space="preserve"> Gao Z, Sun X, Chen C, Teng Z, Xu B, Ma X, Wang Z, Yang Q. Comparative radiological outcomes and complications of sacral-2-alar iliac screw versus iliac screw for sacropelvic fixation. </w:t>
      </w:r>
      <w:proofErr w:type="spellStart"/>
      <w:r w:rsidRPr="00B27AC9">
        <w:rPr>
          <w:rFonts w:ascii="Arial" w:hAnsi="Arial" w:cs="Arial"/>
          <w:color w:val="212121"/>
          <w:shd w:val="clear" w:color="auto" w:fill="FFFFFF"/>
        </w:rPr>
        <w:t>Eur</w:t>
      </w:r>
      <w:proofErr w:type="spellEnd"/>
      <w:r w:rsidRPr="00B27AC9">
        <w:rPr>
          <w:rFonts w:ascii="Arial" w:hAnsi="Arial" w:cs="Arial"/>
          <w:color w:val="212121"/>
          <w:shd w:val="clear" w:color="auto" w:fill="FFFFFF"/>
        </w:rPr>
        <w:t xml:space="preserve"> </w:t>
      </w:r>
      <w:proofErr w:type="spellStart"/>
      <w:r w:rsidRPr="00B27AC9">
        <w:rPr>
          <w:rFonts w:ascii="Arial" w:hAnsi="Arial" w:cs="Arial"/>
          <w:color w:val="212121"/>
          <w:shd w:val="clear" w:color="auto" w:fill="FFFFFF"/>
        </w:rPr>
        <w:t>Spine</w:t>
      </w:r>
      <w:proofErr w:type="spellEnd"/>
      <w:r w:rsidRPr="00B27AC9">
        <w:rPr>
          <w:rFonts w:ascii="Arial" w:hAnsi="Arial" w:cs="Arial"/>
          <w:color w:val="212121"/>
          <w:shd w:val="clear" w:color="auto" w:fill="FFFFFF"/>
        </w:rPr>
        <w:t xml:space="preserve"> J. 2021 Aug;30(8):2257-2270. </w:t>
      </w:r>
    </w:p>
    <w:p w14:paraId="3755A0D3" w14:textId="77777777" w:rsidR="00B27AC9" w:rsidRPr="00B27AC9" w:rsidRDefault="00B27AC9" w:rsidP="00B27AC9">
      <w:pPr>
        <w:numPr>
          <w:ilvl w:val="0"/>
          <w:numId w:val="1"/>
        </w:numPr>
        <w:spacing w:line="480" w:lineRule="auto"/>
        <w:ind w:left="360"/>
        <w:jc w:val="both"/>
        <w:textAlignment w:val="baseline"/>
        <w:rPr>
          <w:rFonts w:ascii="Arial" w:hAnsi="Arial" w:cs="Arial"/>
          <w:color w:val="212121"/>
        </w:rPr>
      </w:pPr>
      <w:r w:rsidRPr="00B27AC9">
        <w:rPr>
          <w:rFonts w:ascii="Arial" w:hAnsi="Arial" w:cs="Arial"/>
          <w:color w:val="212121"/>
          <w:shd w:val="clear" w:color="auto" w:fill="FFFFFF"/>
          <w:lang w:val="en-US"/>
        </w:rPr>
        <w:t xml:space="preserve"> Hasan MY, Liu G, Wong HK, Tan JH. Postoperative complications of S2AI versus iliac screw in spinopelvic fixation: a meta-analysis and recent trends review. </w:t>
      </w:r>
      <w:proofErr w:type="spellStart"/>
      <w:r w:rsidRPr="00B27AC9">
        <w:rPr>
          <w:rFonts w:ascii="Arial" w:hAnsi="Arial" w:cs="Arial"/>
          <w:color w:val="212121"/>
          <w:shd w:val="clear" w:color="auto" w:fill="FFFFFF"/>
        </w:rPr>
        <w:t>Spine</w:t>
      </w:r>
      <w:proofErr w:type="spellEnd"/>
      <w:r w:rsidRPr="00B27AC9">
        <w:rPr>
          <w:rFonts w:ascii="Arial" w:hAnsi="Arial" w:cs="Arial"/>
          <w:color w:val="212121"/>
          <w:shd w:val="clear" w:color="auto" w:fill="FFFFFF"/>
        </w:rPr>
        <w:t xml:space="preserve"> J. 2020 Jun;20(6):964-972. </w:t>
      </w:r>
    </w:p>
    <w:p w14:paraId="6B079531" w14:textId="77777777" w:rsidR="00B27AC9" w:rsidRPr="00B27AC9" w:rsidRDefault="00B27AC9" w:rsidP="00B27AC9">
      <w:pPr>
        <w:numPr>
          <w:ilvl w:val="0"/>
          <w:numId w:val="1"/>
        </w:numPr>
        <w:spacing w:line="480" w:lineRule="auto"/>
        <w:ind w:left="360"/>
        <w:jc w:val="both"/>
        <w:textAlignment w:val="baseline"/>
        <w:rPr>
          <w:rFonts w:ascii="Arial" w:hAnsi="Arial" w:cs="Arial"/>
          <w:color w:val="212121"/>
        </w:rPr>
      </w:pPr>
      <w:r w:rsidRPr="00B27AC9">
        <w:rPr>
          <w:rFonts w:ascii="Arial" w:hAnsi="Arial" w:cs="Arial"/>
          <w:color w:val="212121"/>
          <w:shd w:val="clear" w:color="auto" w:fill="FFFFFF"/>
        </w:rPr>
        <w:t> </w:t>
      </w:r>
      <w:proofErr w:type="spellStart"/>
      <w:r w:rsidRPr="00B27AC9">
        <w:rPr>
          <w:rFonts w:ascii="Arial" w:hAnsi="Arial" w:cs="Arial"/>
          <w:color w:val="212121"/>
          <w:shd w:val="clear" w:color="auto" w:fill="FFFFFF"/>
        </w:rPr>
        <w:t>Araujo</w:t>
      </w:r>
      <w:proofErr w:type="spellEnd"/>
      <w:r w:rsidRPr="00B27AC9">
        <w:rPr>
          <w:rFonts w:ascii="Arial" w:hAnsi="Arial" w:cs="Arial"/>
          <w:color w:val="212121"/>
          <w:shd w:val="clear" w:color="auto" w:fill="FFFFFF"/>
        </w:rPr>
        <w:t xml:space="preserve"> AO, Gomes CR, Fava D, </w:t>
      </w:r>
      <w:proofErr w:type="spellStart"/>
      <w:r w:rsidRPr="00B27AC9">
        <w:rPr>
          <w:rFonts w:ascii="Arial" w:hAnsi="Arial" w:cs="Arial"/>
          <w:color w:val="212121"/>
          <w:shd w:val="clear" w:color="auto" w:fill="FFFFFF"/>
        </w:rPr>
        <w:t>Borigato</w:t>
      </w:r>
      <w:proofErr w:type="spellEnd"/>
      <w:r w:rsidRPr="00B27AC9">
        <w:rPr>
          <w:rFonts w:ascii="Arial" w:hAnsi="Arial" w:cs="Arial"/>
          <w:color w:val="212121"/>
          <w:shd w:val="clear" w:color="auto" w:fill="FFFFFF"/>
        </w:rPr>
        <w:t xml:space="preserve"> EVM, Duarte LMR, de Oliveira RG. </w:t>
      </w:r>
      <w:r w:rsidRPr="00B27AC9">
        <w:rPr>
          <w:rFonts w:ascii="Arial" w:hAnsi="Arial" w:cs="Arial"/>
          <w:color w:val="212121"/>
          <w:shd w:val="clear" w:color="auto" w:fill="FFFFFF"/>
          <w:lang w:val="en-US"/>
        </w:rPr>
        <w:t xml:space="preserve">Short-term surgical complications of spinal fusion in myelomeningocele. Spine Deform. </w:t>
      </w:r>
      <w:r w:rsidRPr="00B27AC9">
        <w:rPr>
          <w:rFonts w:ascii="Arial" w:hAnsi="Arial" w:cs="Arial"/>
          <w:color w:val="212121"/>
          <w:shd w:val="clear" w:color="auto" w:fill="FFFFFF"/>
        </w:rPr>
        <w:t xml:space="preserve">2021 Jul;9(4):1151-1159. </w:t>
      </w:r>
      <w:proofErr w:type="spellStart"/>
      <w:r w:rsidRPr="00B27AC9">
        <w:rPr>
          <w:rFonts w:ascii="Arial" w:hAnsi="Arial" w:cs="Arial"/>
          <w:color w:val="212121"/>
          <w:shd w:val="clear" w:color="auto" w:fill="FFFFFF"/>
        </w:rPr>
        <w:t>doi</w:t>
      </w:r>
      <w:proofErr w:type="spellEnd"/>
      <w:r w:rsidRPr="00B27AC9">
        <w:rPr>
          <w:rFonts w:ascii="Arial" w:hAnsi="Arial" w:cs="Arial"/>
          <w:color w:val="212121"/>
          <w:shd w:val="clear" w:color="auto" w:fill="FFFFFF"/>
        </w:rPr>
        <w:t xml:space="preserve">: 10.1007/s43390-021-00304-8. </w:t>
      </w:r>
      <w:proofErr w:type="spellStart"/>
      <w:r w:rsidRPr="00B27AC9">
        <w:rPr>
          <w:rFonts w:ascii="Arial" w:hAnsi="Arial" w:cs="Arial"/>
          <w:color w:val="212121"/>
          <w:shd w:val="clear" w:color="auto" w:fill="FFFFFF"/>
        </w:rPr>
        <w:t>Epub</w:t>
      </w:r>
      <w:proofErr w:type="spellEnd"/>
      <w:r w:rsidRPr="00B27AC9">
        <w:rPr>
          <w:rFonts w:ascii="Arial" w:hAnsi="Arial" w:cs="Arial"/>
          <w:color w:val="212121"/>
          <w:shd w:val="clear" w:color="auto" w:fill="FFFFFF"/>
        </w:rPr>
        <w:t xml:space="preserve"> 2021 </w:t>
      </w:r>
      <w:proofErr w:type="spellStart"/>
      <w:r w:rsidRPr="00B27AC9">
        <w:rPr>
          <w:rFonts w:ascii="Arial" w:hAnsi="Arial" w:cs="Arial"/>
          <w:color w:val="212121"/>
          <w:shd w:val="clear" w:color="auto" w:fill="FFFFFF"/>
        </w:rPr>
        <w:t>Feb</w:t>
      </w:r>
      <w:proofErr w:type="spellEnd"/>
      <w:r w:rsidRPr="00B27AC9">
        <w:rPr>
          <w:rFonts w:ascii="Arial" w:hAnsi="Arial" w:cs="Arial"/>
          <w:color w:val="212121"/>
          <w:shd w:val="clear" w:color="auto" w:fill="FFFFFF"/>
        </w:rPr>
        <w:t xml:space="preserve"> 23. PMID: 33620695.</w:t>
      </w:r>
    </w:p>
    <w:p w14:paraId="1CF37123" w14:textId="77777777" w:rsidR="00B27AC9" w:rsidRPr="00B27AC9" w:rsidRDefault="00B27AC9" w:rsidP="00B27AC9">
      <w:pPr>
        <w:numPr>
          <w:ilvl w:val="0"/>
          <w:numId w:val="1"/>
        </w:numPr>
        <w:spacing w:line="480" w:lineRule="auto"/>
        <w:ind w:left="360"/>
        <w:jc w:val="both"/>
        <w:textAlignment w:val="baseline"/>
        <w:rPr>
          <w:rFonts w:ascii="Arial" w:hAnsi="Arial" w:cs="Arial"/>
          <w:color w:val="212121"/>
          <w:lang w:val="en-US"/>
        </w:rPr>
      </w:pPr>
      <w:r w:rsidRPr="00B27AC9">
        <w:rPr>
          <w:rFonts w:ascii="Arial" w:hAnsi="Arial" w:cs="Arial"/>
          <w:color w:val="212121"/>
          <w:shd w:val="clear" w:color="auto" w:fill="FFFFFF"/>
          <w:lang w:val="en-US"/>
        </w:rPr>
        <w:t> </w:t>
      </w:r>
      <w:proofErr w:type="spellStart"/>
      <w:r w:rsidRPr="00B27AC9">
        <w:rPr>
          <w:rFonts w:ascii="Arial" w:hAnsi="Arial" w:cs="Arial"/>
          <w:color w:val="212121"/>
          <w:shd w:val="clear" w:color="auto" w:fill="FFFFFF"/>
          <w:lang w:val="en-US"/>
        </w:rPr>
        <w:t>Sponseller</w:t>
      </w:r>
      <w:proofErr w:type="spellEnd"/>
      <w:r w:rsidRPr="00B27AC9">
        <w:rPr>
          <w:rFonts w:ascii="Arial" w:hAnsi="Arial" w:cs="Arial"/>
          <w:color w:val="212121"/>
          <w:shd w:val="clear" w:color="auto" w:fill="FFFFFF"/>
          <w:lang w:val="en-US"/>
        </w:rPr>
        <w:t xml:space="preserve"> PD, LaPorte DM, Hungerford MW, et al. Deep wound infections after neuromuscular scoliosis surgery. A multicenter study of risk factors and treatment outcomes. Spine (Phila Pa 1976) 2000;25: 2461e6.</w:t>
      </w:r>
    </w:p>
    <w:p w14:paraId="42481AC4" w14:textId="77777777" w:rsidR="00B27AC9" w:rsidRPr="00B27AC9" w:rsidRDefault="00B27AC9" w:rsidP="00B27AC9">
      <w:pPr>
        <w:numPr>
          <w:ilvl w:val="0"/>
          <w:numId w:val="1"/>
        </w:numPr>
        <w:spacing w:line="480" w:lineRule="auto"/>
        <w:ind w:left="360"/>
        <w:jc w:val="both"/>
        <w:textAlignment w:val="baseline"/>
        <w:rPr>
          <w:rFonts w:ascii="Arial" w:hAnsi="Arial" w:cs="Arial"/>
          <w:color w:val="212121"/>
        </w:rPr>
      </w:pPr>
      <w:r w:rsidRPr="00B27AC9">
        <w:rPr>
          <w:rFonts w:ascii="Arial" w:hAnsi="Arial" w:cs="Arial"/>
          <w:color w:val="212121"/>
          <w:shd w:val="clear" w:color="auto" w:fill="FFFFFF"/>
          <w:lang w:val="en-US"/>
        </w:rPr>
        <w:lastRenderedPageBreak/>
        <w:t> </w:t>
      </w:r>
      <w:proofErr w:type="spellStart"/>
      <w:r w:rsidRPr="00B27AC9">
        <w:rPr>
          <w:rFonts w:ascii="Arial" w:hAnsi="Arial" w:cs="Arial"/>
          <w:color w:val="212121"/>
          <w:shd w:val="clear" w:color="auto" w:fill="FFFFFF"/>
          <w:lang w:val="en-US"/>
        </w:rPr>
        <w:t>Aleissa</w:t>
      </w:r>
      <w:proofErr w:type="spellEnd"/>
      <w:r w:rsidRPr="00B27AC9">
        <w:rPr>
          <w:rFonts w:ascii="Arial" w:hAnsi="Arial" w:cs="Arial"/>
          <w:color w:val="212121"/>
          <w:shd w:val="clear" w:color="auto" w:fill="FFFFFF"/>
          <w:lang w:val="en-US"/>
        </w:rPr>
        <w:t xml:space="preserve"> S, Parsons D, Grant J, Harder J, Howard J. Deep wound infection following pediatric scoliosis surgery: incidence and analysis of risk factors. </w:t>
      </w:r>
      <w:proofErr w:type="spellStart"/>
      <w:r w:rsidRPr="00B27AC9">
        <w:rPr>
          <w:rFonts w:ascii="Arial" w:hAnsi="Arial" w:cs="Arial"/>
          <w:color w:val="212121"/>
          <w:shd w:val="clear" w:color="auto" w:fill="FFFFFF"/>
        </w:rPr>
        <w:t>Can</w:t>
      </w:r>
      <w:proofErr w:type="spellEnd"/>
      <w:r w:rsidRPr="00B27AC9">
        <w:rPr>
          <w:rFonts w:ascii="Arial" w:hAnsi="Arial" w:cs="Arial"/>
          <w:color w:val="212121"/>
          <w:shd w:val="clear" w:color="auto" w:fill="FFFFFF"/>
        </w:rPr>
        <w:t xml:space="preserve"> J </w:t>
      </w:r>
      <w:proofErr w:type="spellStart"/>
      <w:r w:rsidRPr="00B27AC9">
        <w:rPr>
          <w:rFonts w:ascii="Arial" w:hAnsi="Arial" w:cs="Arial"/>
          <w:color w:val="212121"/>
          <w:shd w:val="clear" w:color="auto" w:fill="FFFFFF"/>
        </w:rPr>
        <w:t>Surg</w:t>
      </w:r>
      <w:proofErr w:type="spellEnd"/>
      <w:r w:rsidRPr="00B27AC9">
        <w:rPr>
          <w:rFonts w:ascii="Arial" w:hAnsi="Arial" w:cs="Arial"/>
          <w:color w:val="212121"/>
          <w:shd w:val="clear" w:color="auto" w:fill="FFFFFF"/>
        </w:rPr>
        <w:t>. 2011 Aug;54(4):263-9. </w:t>
      </w:r>
    </w:p>
    <w:p w14:paraId="63379CE1" w14:textId="77777777" w:rsidR="00B27AC9" w:rsidRPr="00B27AC9" w:rsidRDefault="00B27AC9" w:rsidP="00B27AC9">
      <w:pPr>
        <w:numPr>
          <w:ilvl w:val="0"/>
          <w:numId w:val="1"/>
        </w:numPr>
        <w:spacing w:line="480" w:lineRule="auto"/>
        <w:ind w:left="360"/>
        <w:jc w:val="both"/>
        <w:textAlignment w:val="baseline"/>
        <w:rPr>
          <w:rFonts w:ascii="Arial" w:hAnsi="Arial" w:cs="Arial"/>
          <w:color w:val="212121"/>
        </w:rPr>
      </w:pPr>
      <w:r w:rsidRPr="00B27AC9">
        <w:rPr>
          <w:rFonts w:ascii="Arial" w:hAnsi="Arial" w:cs="Arial"/>
          <w:color w:val="212121"/>
          <w:shd w:val="clear" w:color="auto" w:fill="FFFFFF"/>
          <w:lang w:val="en-US"/>
        </w:rPr>
        <w:t xml:space="preserve"> Myung KS, Lee C, Skaggs DL. Early pelvic fixation failure in neuromuscular scoliosis. </w:t>
      </w:r>
      <w:r w:rsidRPr="00B27AC9">
        <w:rPr>
          <w:rFonts w:ascii="Arial" w:hAnsi="Arial" w:cs="Arial"/>
          <w:color w:val="212121"/>
          <w:shd w:val="clear" w:color="auto" w:fill="FFFFFF"/>
        </w:rPr>
        <w:t xml:space="preserve">J </w:t>
      </w:r>
      <w:proofErr w:type="spellStart"/>
      <w:r w:rsidRPr="00B27AC9">
        <w:rPr>
          <w:rFonts w:ascii="Arial" w:hAnsi="Arial" w:cs="Arial"/>
          <w:color w:val="212121"/>
          <w:shd w:val="clear" w:color="auto" w:fill="FFFFFF"/>
        </w:rPr>
        <w:t>Pediatr</w:t>
      </w:r>
      <w:proofErr w:type="spellEnd"/>
      <w:r w:rsidRPr="00B27AC9">
        <w:rPr>
          <w:rFonts w:ascii="Arial" w:hAnsi="Arial" w:cs="Arial"/>
          <w:color w:val="212121"/>
          <w:shd w:val="clear" w:color="auto" w:fill="FFFFFF"/>
        </w:rPr>
        <w:t xml:space="preserve"> </w:t>
      </w:r>
      <w:proofErr w:type="spellStart"/>
      <w:r w:rsidRPr="00B27AC9">
        <w:rPr>
          <w:rFonts w:ascii="Arial" w:hAnsi="Arial" w:cs="Arial"/>
          <w:color w:val="212121"/>
          <w:shd w:val="clear" w:color="auto" w:fill="FFFFFF"/>
        </w:rPr>
        <w:t>Orthop</w:t>
      </w:r>
      <w:proofErr w:type="spellEnd"/>
      <w:r w:rsidRPr="00B27AC9">
        <w:rPr>
          <w:rFonts w:ascii="Arial" w:hAnsi="Arial" w:cs="Arial"/>
          <w:color w:val="212121"/>
          <w:shd w:val="clear" w:color="auto" w:fill="FFFFFF"/>
        </w:rPr>
        <w:t>. 2015 Apr-May;35(3):258-65. </w:t>
      </w:r>
    </w:p>
    <w:p w14:paraId="678A4F1C" w14:textId="77777777" w:rsidR="00B27AC9" w:rsidRPr="00B27AC9" w:rsidRDefault="00B27AC9" w:rsidP="00B27AC9">
      <w:pPr>
        <w:numPr>
          <w:ilvl w:val="0"/>
          <w:numId w:val="1"/>
        </w:numPr>
        <w:spacing w:line="480" w:lineRule="auto"/>
        <w:ind w:left="360"/>
        <w:jc w:val="both"/>
        <w:textAlignment w:val="baseline"/>
        <w:rPr>
          <w:rFonts w:ascii="Arial" w:hAnsi="Arial" w:cs="Arial"/>
          <w:color w:val="212121"/>
        </w:rPr>
      </w:pPr>
      <w:r w:rsidRPr="00B27AC9">
        <w:rPr>
          <w:rFonts w:ascii="Arial" w:hAnsi="Arial" w:cs="Arial"/>
          <w:color w:val="212121"/>
          <w:shd w:val="clear" w:color="auto" w:fill="FFFFFF"/>
          <w:lang w:val="en-US"/>
        </w:rPr>
        <w:t xml:space="preserve"> Phillips JH, Gutheil JP, Knapp DR Jr. Iliac screw fixation in neuromuscular scoliosis. </w:t>
      </w:r>
      <w:proofErr w:type="spellStart"/>
      <w:r w:rsidRPr="00B27AC9">
        <w:rPr>
          <w:rFonts w:ascii="Arial" w:hAnsi="Arial" w:cs="Arial"/>
          <w:color w:val="212121"/>
          <w:shd w:val="clear" w:color="auto" w:fill="FFFFFF"/>
        </w:rPr>
        <w:t>Spine</w:t>
      </w:r>
      <w:proofErr w:type="spellEnd"/>
      <w:r w:rsidRPr="00B27AC9">
        <w:rPr>
          <w:rFonts w:ascii="Arial" w:hAnsi="Arial" w:cs="Arial"/>
          <w:color w:val="212121"/>
          <w:shd w:val="clear" w:color="auto" w:fill="FFFFFF"/>
        </w:rPr>
        <w:t xml:space="preserve"> (</w:t>
      </w:r>
      <w:proofErr w:type="spellStart"/>
      <w:r w:rsidRPr="00B27AC9">
        <w:rPr>
          <w:rFonts w:ascii="Arial" w:hAnsi="Arial" w:cs="Arial"/>
          <w:color w:val="212121"/>
          <w:shd w:val="clear" w:color="auto" w:fill="FFFFFF"/>
        </w:rPr>
        <w:t>Phila</w:t>
      </w:r>
      <w:proofErr w:type="spellEnd"/>
      <w:r w:rsidRPr="00B27AC9">
        <w:rPr>
          <w:rFonts w:ascii="Arial" w:hAnsi="Arial" w:cs="Arial"/>
          <w:color w:val="212121"/>
          <w:shd w:val="clear" w:color="auto" w:fill="FFFFFF"/>
        </w:rPr>
        <w:t xml:space="preserve"> </w:t>
      </w:r>
      <w:proofErr w:type="spellStart"/>
      <w:r w:rsidRPr="00B27AC9">
        <w:rPr>
          <w:rFonts w:ascii="Arial" w:hAnsi="Arial" w:cs="Arial"/>
          <w:color w:val="212121"/>
          <w:shd w:val="clear" w:color="auto" w:fill="FFFFFF"/>
        </w:rPr>
        <w:t>Pa</w:t>
      </w:r>
      <w:proofErr w:type="spellEnd"/>
      <w:r w:rsidRPr="00B27AC9">
        <w:rPr>
          <w:rFonts w:ascii="Arial" w:hAnsi="Arial" w:cs="Arial"/>
          <w:color w:val="212121"/>
          <w:shd w:val="clear" w:color="auto" w:fill="FFFFFF"/>
        </w:rPr>
        <w:t xml:space="preserve"> 1976). 2007 </w:t>
      </w:r>
      <w:proofErr w:type="spellStart"/>
      <w:r w:rsidRPr="00B27AC9">
        <w:rPr>
          <w:rFonts w:ascii="Arial" w:hAnsi="Arial" w:cs="Arial"/>
          <w:color w:val="212121"/>
          <w:shd w:val="clear" w:color="auto" w:fill="FFFFFF"/>
        </w:rPr>
        <w:t>Jun</w:t>
      </w:r>
      <w:proofErr w:type="spellEnd"/>
      <w:r w:rsidRPr="00B27AC9">
        <w:rPr>
          <w:rFonts w:ascii="Arial" w:hAnsi="Arial" w:cs="Arial"/>
          <w:color w:val="212121"/>
          <w:shd w:val="clear" w:color="auto" w:fill="FFFFFF"/>
        </w:rPr>
        <w:t xml:space="preserve"> 15;32(14):1566-70. </w:t>
      </w:r>
    </w:p>
    <w:p w14:paraId="4009CA2D" w14:textId="77777777" w:rsidR="00B27AC9" w:rsidRPr="00B27AC9" w:rsidRDefault="00B27AC9" w:rsidP="00B27AC9">
      <w:pPr>
        <w:numPr>
          <w:ilvl w:val="0"/>
          <w:numId w:val="1"/>
        </w:numPr>
        <w:spacing w:line="480" w:lineRule="auto"/>
        <w:ind w:left="360"/>
        <w:jc w:val="both"/>
        <w:textAlignment w:val="baseline"/>
        <w:rPr>
          <w:rFonts w:ascii="Arial" w:hAnsi="Arial" w:cs="Arial"/>
          <w:color w:val="212121"/>
        </w:rPr>
      </w:pPr>
      <w:r w:rsidRPr="00B27AC9">
        <w:rPr>
          <w:rFonts w:ascii="Arial" w:hAnsi="Arial" w:cs="Arial"/>
          <w:color w:val="212121"/>
          <w:shd w:val="clear" w:color="auto" w:fill="FFFFFF"/>
        </w:rPr>
        <w:t> </w:t>
      </w:r>
      <w:proofErr w:type="spellStart"/>
      <w:r w:rsidRPr="00B27AC9">
        <w:rPr>
          <w:rFonts w:ascii="Arial" w:hAnsi="Arial" w:cs="Arial"/>
          <w:color w:val="212121"/>
          <w:shd w:val="clear" w:color="auto" w:fill="FFFFFF"/>
        </w:rPr>
        <w:t>Anari</w:t>
      </w:r>
      <w:proofErr w:type="spellEnd"/>
      <w:r w:rsidRPr="00B27AC9">
        <w:rPr>
          <w:rFonts w:ascii="Arial" w:hAnsi="Arial" w:cs="Arial"/>
          <w:color w:val="212121"/>
          <w:shd w:val="clear" w:color="auto" w:fill="FFFFFF"/>
        </w:rPr>
        <w:t xml:space="preserve"> JB, </w:t>
      </w:r>
      <w:proofErr w:type="spellStart"/>
      <w:r w:rsidRPr="00B27AC9">
        <w:rPr>
          <w:rFonts w:ascii="Arial" w:hAnsi="Arial" w:cs="Arial"/>
          <w:color w:val="212121"/>
          <w:shd w:val="clear" w:color="auto" w:fill="FFFFFF"/>
        </w:rPr>
        <w:t>Cahill</w:t>
      </w:r>
      <w:proofErr w:type="spellEnd"/>
      <w:r w:rsidRPr="00B27AC9">
        <w:rPr>
          <w:rFonts w:ascii="Arial" w:hAnsi="Arial" w:cs="Arial"/>
          <w:color w:val="212121"/>
          <w:shd w:val="clear" w:color="auto" w:fill="FFFFFF"/>
        </w:rPr>
        <w:t xml:space="preserve"> PJ, </w:t>
      </w:r>
      <w:proofErr w:type="spellStart"/>
      <w:r w:rsidRPr="00B27AC9">
        <w:rPr>
          <w:rFonts w:ascii="Arial" w:hAnsi="Arial" w:cs="Arial"/>
          <w:color w:val="212121"/>
          <w:shd w:val="clear" w:color="auto" w:fill="FFFFFF"/>
        </w:rPr>
        <w:t>Flynn</w:t>
      </w:r>
      <w:proofErr w:type="spellEnd"/>
      <w:r w:rsidRPr="00B27AC9">
        <w:rPr>
          <w:rFonts w:ascii="Arial" w:hAnsi="Arial" w:cs="Arial"/>
          <w:color w:val="212121"/>
          <w:shd w:val="clear" w:color="auto" w:fill="FFFFFF"/>
        </w:rPr>
        <w:t xml:space="preserve"> JM, </w:t>
      </w:r>
      <w:proofErr w:type="spellStart"/>
      <w:r w:rsidRPr="00B27AC9">
        <w:rPr>
          <w:rFonts w:ascii="Arial" w:hAnsi="Arial" w:cs="Arial"/>
          <w:color w:val="212121"/>
          <w:shd w:val="clear" w:color="auto" w:fill="FFFFFF"/>
        </w:rPr>
        <w:t>Spiegel</w:t>
      </w:r>
      <w:proofErr w:type="spellEnd"/>
      <w:r w:rsidRPr="00B27AC9">
        <w:rPr>
          <w:rFonts w:ascii="Arial" w:hAnsi="Arial" w:cs="Arial"/>
          <w:color w:val="212121"/>
          <w:shd w:val="clear" w:color="auto" w:fill="FFFFFF"/>
        </w:rPr>
        <w:t xml:space="preserve"> DA, Baldwin KD. </w:t>
      </w:r>
      <w:r w:rsidRPr="00B27AC9">
        <w:rPr>
          <w:rFonts w:ascii="Arial" w:hAnsi="Arial" w:cs="Arial"/>
          <w:color w:val="212121"/>
          <w:shd w:val="clear" w:color="auto" w:fill="FFFFFF"/>
          <w:lang w:val="en-US"/>
        </w:rPr>
        <w:t xml:space="preserve">Intra-operative computed tomography guided navigation for pediatric pelvic instrumentation: A technique guide. </w:t>
      </w:r>
      <w:r w:rsidRPr="00B27AC9">
        <w:rPr>
          <w:rFonts w:ascii="Arial" w:hAnsi="Arial" w:cs="Arial"/>
          <w:color w:val="212121"/>
          <w:shd w:val="clear" w:color="auto" w:fill="FFFFFF"/>
        </w:rPr>
        <w:t xml:space="preserve">World J </w:t>
      </w:r>
      <w:proofErr w:type="spellStart"/>
      <w:r w:rsidRPr="00B27AC9">
        <w:rPr>
          <w:rFonts w:ascii="Arial" w:hAnsi="Arial" w:cs="Arial"/>
          <w:color w:val="212121"/>
          <w:shd w:val="clear" w:color="auto" w:fill="FFFFFF"/>
        </w:rPr>
        <w:t>Orthop</w:t>
      </w:r>
      <w:proofErr w:type="spellEnd"/>
      <w:r w:rsidRPr="00B27AC9">
        <w:rPr>
          <w:rFonts w:ascii="Arial" w:hAnsi="Arial" w:cs="Arial"/>
          <w:color w:val="212121"/>
          <w:shd w:val="clear" w:color="auto" w:fill="FFFFFF"/>
        </w:rPr>
        <w:t xml:space="preserve">. 2018 </w:t>
      </w:r>
      <w:proofErr w:type="spellStart"/>
      <w:r w:rsidRPr="00B27AC9">
        <w:rPr>
          <w:rFonts w:ascii="Arial" w:hAnsi="Arial" w:cs="Arial"/>
          <w:color w:val="212121"/>
          <w:shd w:val="clear" w:color="auto" w:fill="FFFFFF"/>
        </w:rPr>
        <w:t>Oct</w:t>
      </w:r>
      <w:proofErr w:type="spellEnd"/>
      <w:r w:rsidRPr="00B27AC9">
        <w:rPr>
          <w:rFonts w:ascii="Arial" w:hAnsi="Arial" w:cs="Arial"/>
          <w:color w:val="212121"/>
          <w:shd w:val="clear" w:color="auto" w:fill="FFFFFF"/>
        </w:rPr>
        <w:t xml:space="preserve"> 18;9(10):185-189. </w:t>
      </w:r>
    </w:p>
    <w:p w14:paraId="529DF47E" w14:textId="77777777" w:rsidR="00B27AC9" w:rsidRPr="00B27AC9" w:rsidRDefault="00B27AC9" w:rsidP="00B27AC9">
      <w:pPr>
        <w:numPr>
          <w:ilvl w:val="0"/>
          <w:numId w:val="1"/>
        </w:numPr>
        <w:spacing w:line="480" w:lineRule="auto"/>
        <w:ind w:left="360"/>
        <w:jc w:val="both"/>
        <w:textAlignment w:val="baseline"/>
        <w:rPr>
          <w:rFonts w:ascii="Arial" w:hAnsi="Arial" w:cs="Arial"/>
          <w:color w:val="000000"/>
        </w:rPr>
      </w:pPr>
      <w:r w:rsidRPr="00B27AC9">
        <w:rPr>
          <w:rFonts w:ascii="Arial" w:hAnsi="Arial" w:cs="Arial"/>
          <w:color w:val="212121"/>
          <w:shd w:val="clear" w:color="auto" w:fill="FFFFFF"/>
          <w:lang w:val="en-US"/>
        </w:rPr>
        <w:t> </w:t>
      </w:r>
      <w:r w:rsidRPr="00B27AC9">
        <w:rPr>
          <w:rFonts w:ascii="Arial" w:hAnsi="Arial" w:cs="Arial"/>
          <w:color w:val="303030"/>
          <w:shd w:val="clear" w:color="auto" w:fill="FFFFFF"/>
          <w:lang w:val="en-US"/>
        </w:rPr>
        <w:t xml:space="preserve">Shen M, Jiang H, Luo M, Wang W, Li N, Wang L, Xia L. Comparison of low density and </w:t>
      </w:r>
      <w:proofErr w:type="gramStart"/>
      <w:r w:rsidRPr="00B27AC9">
        <w:rPr>
          <w:rFonts w:ascii="Arial" w:hAnsi="Arial" w:cs="Arial"/>
          <w:color w:val="303030"/>
          <w:shd w:val="clear" w:color="auto" w:fill="FFFFFF"/>
          <w:lang w:val="en-US"/>
        </w:rPr>
        <w:t>high density</w:t>
      </w:r>
      <w:proofErr w:type="gramEnd"/>
      <w:r w:rsidRPr="00B27AC9">
        <w:rPr>
          <w:rFonts w:ascii="Arial" w:hAnsi="Arial" w:cs="Arial"/>
          <w:color w:val="303030"/>
          <w:shd w:val="clear" w:color="auto" w:fill="FFFFFF"/>
          <w:lang w:val="en-US"/>
        </w:rPr>
        <w:t xml:space="preserve"> pedicle screw instrumentation in </w:t>
      </w:r>
      <w:proofErr w:type="spellStart"/>
      <w:r w:rsidRPr="00B27AC9">
        <w:rPr>
          <w:rFonts w:ascii="Arial" w:hAnsi="Arial" w:cs="Arial"/>
          <w:color w:val="303030"/>
          <w:shd w:val="clear" w:color="auto" w:fill="FFFFFF"/>
          <w:lang w:val="en-US"/>
        </w:rPr>
        <w:t>Lenke</w:t>
      </w:r>
      <w:proofErr w:type="spellEnd"/>
      <w:r w:rsidRPr="00B27AC9">
        <w:rPr>
          <w:rFonts w:ascii="Arial" w:hAnsi="Arial" w:cs="Arial"/>
          <w:color w:val="303030"/>
          <w:shd w:val="clear" w:color="auto" w:fill="FFFFFF"/>
          <w:lang w:val="en-US"/>
        </w:rPr>
        <w:t xml:space="preserve"> 1 adolescent idiopathic scoliosis. </w:t>
      </w:r>
      <w:r w:rsidRPr="00B27AC9">
        <w:rPr>
          <w:rFonts w:ascii="Arial" w:hAnsi="Arial" w:cs="Arial"/>
          <w:color w:val="303030"/>
          <w:shd w:val="clear" w:color="auto" w:fill="FFFFFF"/>
        </w:rPr>
        <w:t xml:space="preserve">BMC </w:t>
      </w:r>
      <w:proofErr w:type="spellStart"/>
      <w:r w:rsidRPr="00B27AC9">
        <w:rPr>
          <w:rFonts w:ascii="Arial" w:hAnsi="Arial" w:cs="Arial"/>
          <w:color w:val="303030"/>
          <w:shd w:val="clear" w:color="auto" w:fill="FFFFFF"/>
        </w:rPr>
        <w:t>Musculoskelet</w:t>
      </w:r>
      <w:proofErr w:type="spellEnd"/>
      <w:r w:rsidRPr="00B27AC9">
        <w:rPr>
          <w:rFonts w:ascii="Arial" w:hAnsi="Arial" w:cs="Arial"/>
          <w:color w:val="303030"/>
          <w:shd w:val="clear" w:color="auto" w:fill="FFFFFF"/>
        </w:rPr>
        <w:t xml:space="preserve"> </w:t>
      </w:r>
      <w:proofErr w:type="spellStart"/>
      <w:r w:rsidRPr="00B27AC9">
        <w:rPr>
          <w:rFonts w:ascii="Arial" w:hAnsi="Arial" w:cs="Arial"/>
          <w:color w:val="303030"/>
          <w:shd w:val="clear" w:color="auto" w:fill="FFFFFF"/>
        </w:rPr>
        <w:t>Disord</w:t>
      </w:r>
      <w:proofErr w:type="spellEnd"/>
      <w:r w:rsidRPr="00B27AC9">
        <w:rPr>
          <w:rFonts w:ascii="Arial" w:hAnsi="Arial" w:cs="Arial"/>
          <w:color w:val="303030"/>
          <w:shd w:val="clear" w:color="auto" w:fill="FFFFFF"/>
        </w:rPr>
        <w:t xml:space="preserve">. 2017 </w:t>
      </w:r>
      <w:proofErr w:type="spellStart"/>
      <w:r w:rsidRPr="00B27AC9">
        <w:rPr>
          <w:rFonts w:ascii="Arial" w:hAnsi="Arial" w:cs="Arial"/>
          <w:color w:val="303030"/>
          <w:shd w:val="clear" w:color="auto" w:fill="FFFFFF"/>
        </w:rPr>
        <w:t>Aug</w:t>
      </w:r>
      <w:proofErr w:type="spellEnd"/>
      <w:r w:rsidRPr="00B27AC9">
        <w:rPr>
          <w:rFonts w:ascii="Arial" w:hAnsi="Arial" w:cs="Arial"/>
          <w:color w:val="303030"/>
          <w:shd w:val="clear" w:color="auto" w:fill="FFFFFF"/>
        </w:rPr>
        <w:t xml:space="preserve"> 2;18(1):336</w:t>
      </w:r>
    </w:p>
    <w:p w14:paraId="10B95EF1" w14:textId="77777777" w:rsidR="00B27AC9" w:rsidRPr="00B27AC9" w:rsidRDefault="00B27AC9" w:rsidP="00B27AC9">
      <w:pPr>
        <w:numPr>
          <w:ilvl w:val="0"/>
          <w:numId w:val="1"/>
        </w:numPr>
        <w:spacing w:after="200" w:line="480" w:lineRule="auto"/>
        <w:ind w:left="360"/>
        <w:jc w:val="both"/>
        <w:textAlignment w:val="baseline"/>
        <w:rPr>
          <w:rFonts w:ascii="Arial" w:hAnsi="Arial" w:cs="Arial"/>
          <w:color w:val="000000"/>
          <w:lang w:val="en-US"/>
        </w:rPr>
      </w:pPr>
      <w:r w:rsidRPr="00B27AC9">
        <w:rPr>
          <w:rFonts w:ascii="Arial" w:hAnsi="Arial" w:cs="Arial"/>
          <w:color w:val="303030"/>
          <w:shd w:val="clear" w:color="auto" w:fill="FFFFFF"/>
          <w:lang w:val="en-US"/>
        </w:rPr>
        <w:t> </w:t>
      </w:r>
      <w:r w:rsidRPr="00B27AC9">
        <w:rPr>
          <w:rFonts w:ascii="Arial" w:hAnsi="Arial" w:cs="Arial"/>
          <w:color w:val="212121"/>
          <w:shd w:val="clear" w:color="auto" w:fill="FFFFFF"/>
          <w:lang w:val="en-US"/>
        </w:rPr>
        <w:t xml:space="preserve">Does higher screw density improve radiographic and clinical outcomes in adolescent idiopathic scoliosis? A systematic review and pooled analysis. J </w:t>
      </w:r>
      <w:proofErr w:type="spellStart"/>
      <w:r w:rsidRPr="00B27AC9">
        <w:rPr>
          <w:rFonts w:ascii="Arial" w:hAnsi="Arial" w:cs="Arial"/>
          <w:color w:val="212121"/>
          <w:shd w:val="clear" w:color="auto" w:fill="FFFFFF"/>
          <w:lang w:val="en-US"/>
        </w:rPr>
        <w:t>Neurosurg</w:t>
      </w:r>
      <w:proofErr w:type="spellEnd"/>
      <w:r w:rsidRPr="00B27AC9">
        <w:rPr>
          <w:rFonts w:ascii="Arial" w:hAnsi="Arial" w:cs="Arial"/>
          <w:color w:val="212121"/>
          <w:shd w:val="clear" w:color="auto" w:fill="FFFFFF"/>
          <w:lang w:val="en-US"/>
        </w:rPr>
        <w:t xml:space="preserve"> </w:t>
      </w:r>
      <w:proofErr w:type="spellStart"/>
      <w:r w:rsidRPr="00B27AC9">
        <w:rPr>
          <w:rFonts w:ascii="Arial" w:hAnsi="Arial" w:cs="Arial"/>
          <w:color w:val="212121"/>
          <w:shd w:val="clear" w:color="auto" w:fill="FFFFFF"/>
          <w:lang w:val="en-US"/>
        </w:rPr>
        <w:t>Pediatr</w:t>
      </w:r>
      <w:proofErr w:type="spellEnd"/>
      <w:r w:rsidRPr="00B27AC9">
        <w:rPr>
          <w:rFonts w:ascii="Arial" w:hAnsi="Arial" w:cs="Arial"/>
          <w:color w:val="212121"/>
          <w:shd w:val="clear" w:color="auto" w:fill="FFFFFF"/>
          <w:lang w:val="en-US"/>
        </w:rPr>
        <w:t>. 2017 Apr;19(4):448-457. </w:t>
      </w:r>
    </w:p>
    <w:p w14:paraId="327BFCDF" w14:textId="77777777" w:rsidR="00B27AC9" w:rsidRPr="00B27AC9" w:rsidRDefault="00B27AC9" w:rsidP="00B27AC9">
      <w:pPr>
        <w:spacing w:after="240"/>
        <w:rPr>
          <w:color w:val="000000"/>
          <w:lang w:val="en-US"/>
        </w:rPr>
      </w:pPr>
    </w:p>
    <w:p w14:paraId="64EA65F2" w14:textId="77777777" w:rsidR="00EA5F33" w:rsidRDefault="00EA5F33" w:rsidP="00B27AC9">
      <w:pPr>
        <w:spacing w:after="200" w:line="480" w:lineRule="auto"/>
        <w:jc w:val="both"/>
        <w:rPr>
          <w:rFonts w:ascii="Arial" w:hAnsi="Arial" w:cs="Arial"/>
          <w:b/>
          <w:bCs/>
          <w:color w:val="212121"/>
          <w:shd w:val="clear" w:color="auto" w:fill="FFFFFF"/>
        </w:rPr>
      </w:pPr>
    </w:p>
    <w:p w14:paraId="6D816A66" w14:textId="77777777" w:rsidR="00EA5F33" w:rsidRDefault="00EA5F33" w:rsidP="00B27AC9">
      <w:pPr>
        <w:spacing w:after="200" w:line="480" w:lineRule="auto"/>
        <w:jc w:val="both"/>
        <w:rPr>
          <w:rFonts w:ascii="Arial" w:hAnsi="Arial" w:cs="Arial"/>
          <w:b/>
          <w:bCs/>
          <w:color w:val="212121"/>
          <w:shd w:val="clear" w:color="auto" w:fill="FFFFFF"/>
        </w:rPr>
      </w:pPr>
    </w:p>
    <w:p w14:paraId="40D84E55" w14:textId="77777777" w:rsidR="00EA5F33" w:rsidRDefault="00EA5F33" w:rsidP="00B27AC9">
      <w:pPr>
        <w:spacing w:after="200" w:line="480" w:lineRule="auto"/>
        <w:jc w:val="both"/>
        <w:rPr>
          <w:rFonts w:ascii="Arial" w:hAnsi="Arial" w:cs="Arial"/>
          <w:b/>
          <w:bCs/>
          <w:color w:val="212121"/>
          <w:shd w:val="clear" w:color="auto" w:fill="FFFFFF"/>
        </w:rPr>
      </w:pPr>
    </w:p>
    <w:p w14:paraId="5E61F4CF" w14:textId="1D339F8D" w:rsidR="00EA5F33" w:rsidRDefault="00EA5F33" w:rsidP="00B27AC9">
      <w:pPr>
        <w:spacing w:after="200" w:line="480" w:lineRule="auto"/>
        <w:jc w:val="both"/>
        <w:rPr>
          <w:rFonts w:ascii="Arial" w:hAnsi="Arial" w:cs="Arial"/>
          <w:b/>
          <w:bCs/>
          <w:color w:val="212121"/>
          <w:shd w:val="clear" w:color="auto" w:fill="FFFFFF"/>
        </w:rPr>
      </w:pPr>
    </w:p>
    <w:p w14:paraId="607CB43F" w14:textId="77777777" w:rsidR="00DD65D2" w:rsidRDefault="00DD65D2" w:rsidP="00B27AC9">
      <w:pPr>
        <w:spacing w:after="200" w:line="480" w:lineRule="auto"/>
        <w:jc w:val="both"/>
        <w:rPr>
          <w:rFonts w:ascii="Arial" w:hAnsi="Arial" w:cs="Arial"/>
          <w:b/>
          <w:bCs/>
          <w:color w:val="212121"/>
          <w:shd w:val="clear" w:color="auto" w:fill="FFFFFF"/>
        </w:rPr>
      </w:pPr>
    </w:p>
    <w:p w14:paraId="7974B6A4" w14:textId="77777777" w:rsidR="00EA5F33" w:rsidRDefault="00EA5F33" w:rsidP="00B27AC9">
      <w:pPr>
        <w:spacing w:after="200" w:line="480" w:lineRule="auto"/>
        <w:jc w:val="both"/>
        <w:rPr>
          <w:rFonts w:ascii="Arial" w:hAnsi="Arial" w:cs="Arial"/>
          <w:b/>
          <w:bCs/>
          <w:color w:val="212121"/>
          <w:shd w:val="clear" w:color="auto" w:fill="FFFFFF"/>
        </w:rPr>
      </w:pPr>
    </w:p>
    <w:p w14:paraId="59A0CF20" w14:textId="6EF99FCF" w:rsidR="00B27AC9" w:rsidRPr="00B27AC9" w:rsidRDefault="00B27AC9" w:rsidP="00B27AC9">
      <w:pPr>
        <w:spacing w:after="200" w:line="480" w:lineRule="auto"/>
        <w:jc w:val="both"/>
        <w:rPr>
          <w:color w:val="000000"/>
        </w:rPr>
      </w:pPr>
      <w:r w:rsidRPr="00B27AC9">
        <w:rPr>
          <w:rFonts w:ascii="Arial" w:hAnsi="Arial" w:cs="Arial"/>
          <w:b/>
          <w:bCs/>
          <w:color w:val="212121"/>
          <w:shd w:val="clear" w:color="auto" w:fill="FFFFFF"/>
        </w:rPr>
        <w:lastRenderedPageBreak/>
        <w:t>ANEXOS</w:t>
      </w:r>
    </w:p>
    <w:p w14:paraId="0936EFD8" w14:textId="49103600" w:rsidR="00B27AC9" w:rsidRPr="00B27AC9" w:rsidRDefault="00B27AC9" w:rsidP="00B27AC9">
      <w:pPr>
        <w:rPr>
          <w:color w:val="000000"/>
        </w:rPr>
      </w:pPr>
      <w:r w:rsidRPr="00B27AC9">
        <w:rPr>
          <w:rFonts w:ascii="Arial" w:hAnsi="Arial" w:cs="Arial"/>
          <w:color w:val="000000"/>
          <w:sz w:val="22"/>
          <w:szCs w:val="22"/>
          <w:bdr w:val="none" w:sz="0" w:space="0" w:color="auto" w:frame="1"/>
        </w:rPr>
        <w:fldChar w:fldCharType="begin"/>
      </w:r>
      <w:r w:rsidRPr="00B27AC9">
        <w:rPr>
          <w:rFonts w:ascii="Arial" w:hAnsi="Arial" w:cs="Arial"/>
          <w:color w:val="000000"/>
          <w:sz w:val="22"/>
          <w:szCs w:val="22"/>
          <w:bdr w:val="none" w:sz="0" w:space="0" w:color="auto" w:frame="1"/>
        </w:rPr>
        <w:instrText xml:space="preserve"> INCLUDEPICTURE "https://lh4.googleusercontent.com/_0jryOPX__1fD_MNXStnb7-kQY25SbQyE_JLc0ALjM6OUs37IXWbObxJ3_AzGnDB-InKFcsWNnT8VcZos9dQzXtGIL42XdJ6NZ8T1tpzJMOU0jXs18EDIIL4WAvs165GDWFiLIRQ" \* MERGEFORMATINET </w:instrText>
      </w:r>
      <w:r w:rsidRPr="00B27AC9">
        <w:rPr>
          <w:rFonts w:ascii="Arial" w:hAnsi="Arial" w:cs="Arial"/>
          <w:color w:val="000000"/>
          <w:sz w:val="22"/>
          <w:szCs w:val="22"/>
          <w:bdr w:val="none" w:sz="0" w:space="0" w:color="auto" w:frame="1"/>
        </w:rPr>
        <w:fldChar w:fldCharType="separate"/>
      </w:r>
      <w:r w:rsidRPr="00B27AC9">
        <w:rPr>
          <w:rFonts w:ascii="Arial" w:hAnsi="Arial" w:cs="Arial"/>
          <w:noProof/>
          <w:color w:val="000000"/>
          <w:sz w:val="22"/>
          <w:szCs w:val="22"/>
          <w:bdr w:val="none" w:sz="0" w:space="0" w:color="auto" w:frame="1"/>
        </w:rPr>
        <w:drawing>
          <wp:inline distT="0" distB="0" distL="0" distR="0" wp14:anchorId="0B50D4D1" wp14:editId="6D113AF8">
            <wp:extent cx="4368800" cy="4354195"/>
            <wp:effectExtent l="0" t="0" r="0" b="1905"/>
            <wp:docPr id="5" name="Imagem 5" descr="Uma imagem contendo tartaruga, segurando, mesa,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ntendo tartaruga, segurando, mesa, comida&#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0" cy="4354195"/>
                    </a:xfrm>
                    <a:prstGeom prst="rect">
                      <a:avLst/>
                    </a:prstGeom>
                    <a:noFill/>
                    <a:ln>
                      <a:noFill/>
                    </a:ln>
                  </pic:spPr>
                </pic:pic>
              </a:graphicData>
            </a:graphic>
          </wp:inline>
        </w:drawing>
      </w:r>
      <w:r w:rsidRPr="00B27AC9">
        <w:rPr>
          <w:rFonts w:ascii="Arial" w:hAnsi="Arial" w:cs="Arial"/>
          <w:color w:val="000000"/>
          <w:sz w:val="22"/>
          <w:szCs w:val="22"/>
          <w:bdr w:val="none" w:sz="0" w:space="0" w:color="auto" w:frame="1"/>
        </w:rPr>
        <w:fldChar w:fldCharType="end"/>
      </w:r>
    </w:p>
    <w:p w14:paraId="494E6B32" w14:textId="553F307E" w:rsidR="00B27AC9" w:rsidRPr="00B27AC9" w:rsidRDefault="00B27AC9" w:rsidP="001B1F94">
      <w:pPr>
        <w:jc w:val="both"/>
        <w:rPr>
          <w:color w:val="000000"/>
        </w:rPr>
      </w:pPr>
      <w:r w:rsidRPr="00B27AC9">
        <w:rPr>
          <w:rFonts w:ascii="Arial" w:hAnsi="Arial" w:cs="Arial"/>
          <w:color w:val="000000"/>
          <w:sz w:val="22"/>
          <w:szCs w:val="22"/>
        </w:rPr>
        <w:t xml:space="preserve">Figura 1 - Paciente do sexo masculino, 15 anos, portador de Paralisia Cerebral GMFCS 5. a) Radiografia panorâmica pré-operatória demonstrando uma escoliose e obliquidade </w:t>
      </w:r>
      <w:proofErr w:type="spellStart"/>
      <w:r w:rsidRPr="00B27AC9">
        <w:rPr>
          <w:rFonts w:ascii="Arial" w:hAnsi="Arial" w:cs="Arial"/>
          <w:color w:val="000000"/>
          <w:sz w:val="22"/>
          <w:szCs w:val="22"/>
        </w:rPr>
        <w:t>pelvica</w:t>
      </w:r>
      <w:proofErr w:type="spellEnd"/>
      <w:r w:rsidRPr="00B27AC9">
        <w:rPr>
          <w:rFonts w:ascii="Arial" w:hAnsi="Arial" w:cs="Arial"/>
          <w:color w:val="000000"/>
          <w:sz w:val="22"/>
          <w:szCs w:val="22"/>
        </w:rPr>
        <w:t xml:space="preserve"> avançadas b) Radiografia pós-operatória demonstrando a correção da escoliose e da obliquidade da pelve com uma montagem de alta densidade de parafusos na região lombar. </w:t>
      </w:r>
    </w:p>
    <w:p w14:paraId="60732D30" w14:textId="6813C37C" w:rsidR="00B27AC9" w:rsidRPr="00B27AC9" w:rsidRDefault="00B27AC9" w:rsidP="00B27AC9">
      <w:pPr>
        <w:rPr>
          <w:color w:val="000000"/>
        </w:rPr>
      </w:pPr>
      <w:r w:rsidRPr="00B27AC9">
        <w:rPr>
          <w:rFonts w:ascii="Arial" w:hAnsi="Arial" w:cs="Arial"/>
          <w:color w:val="000000"/>
          <w:sz w:val="22"/>
          <w:szCs w:val="22"/>
          <w:bdr w:val="none" w:sz="0" w:space="0" w:color="auto" w:frame="1"/>
        </w:rPr>
        <w:lastRenderedPageBreak/>
        <w:fldChar w:fldCharType="begin"/>
      </w:r>
      <w:r w:rsidRPr="00B27AC9">
        <w:rPr>
          <w:rFonts w:ascii="Arial" w:hAnsi="Arial" w:cs="Arial"/>
          <w:color w:val="000000"/>
          <w:sz w:val="22"/>
          <w:szCs w:val="22"/>
          <w:bdr w:val="none" w:sz="0" w:space="0" w:color="auto" w:frame="1"/>
        </w:rPr>
        <w:instrText xml:space="preserve"> INCLUDEPICTURE "https://lh3.googleusercontent.com/QEFpiY1YiXmjTFpZcB7cS9Jru3JV3_WBDH59vaIvj1Tq1JBehpMaHGvUWWIgmO1EXGGGR7zhJ3UuFufZi8rovXmm7fCwmiE_qjdCBat7GA8OZgfXRl330UR7I0bxfRUQY1_pFRnP" \* MERGEFORMATINET </w:instrText>
      </w:r>
      <w:r w:rsidRPr="00B27AC9">
        <w:rPr>
          <w:rFonts w:ascii="Arial" w:hAnsi="Arial" w:cs="Arial"/>
          <w:color w:val="000000"/>
          <w:sz w:val="22"/>
          <w:szCs w:val="22"/>
          <w:bdr w:val="none" w:sz="0" w:space="0" w:color="auto" w:frame="1"/>
        </w:rPr>
        <w:fldChar w:fldCharType="separate"/>
      </w:r>
      <w:r w:rsidRPr="00B27AC9">
        <w:rPr>
          <w:rFonts w:ascii="Arial" w:hAnsi="Arial" w:cs="Arial"/>
          <w:noProof/>
          <w:color w:val="000000"/>
          <w:sz w:val="22"/>
          <w:szCs w:val="22"/>
          <w:bdr w:val="none" w:sz="0" w:space="0" w:color="auto" w:frame="1"/>
        </w:rPr>
        <w:drawing>
          <wp:inline distT="0" distB="0" distL="0" distR="0" wp14:anchorId="3700FF83" wp14:editId="26E2DBB7">
            <wp:extent cx="4426585" cy="4412615"/>
            <wp:effectExtent l="0" t="0" r="5715" b="0"/>
            <wp:docPr id="4" name="Imagem 4" descr="Imagem em preto e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magem em preto e branco&#10;&#10;Descrição gerada automaticamente com confiança baix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6585" cy="4412615"/>
                    </a:xfrm>
                    <a:prstGeom prst="rect">
                      <a:avLst/>
                    </a:prstGeom>
                    <a:noFill/>
                    <a:ln>
                      <a:noFill/>
                    </a:ln>
                  </pic:spPr>
                </pic:pic>
              </a:graphicData>
            </a:graphic>
          </wp:inline>
        </w:drawing>
      </w:r>
      <w:r w:rsidRPr="00B27AC9">
        <w:rPr>
          <w:rFonts w:ascii="Arial" w:hAnsi="Arial" w:cs="Arial"/>
          <w:color w:val="000000"/>
          <w:sz w:val="22"/>
          <w:szCs w:val="22"/>
          <w:bdr w:val="none" w:sz="0" w:space="0" w:color="auto" w:frame="1"/>
        </w:rPr>
        <w:fldChar w:fldCharType="end"/>
      </w:r>
    </w:p>
    <w:p w14:paraId="3D9963FA" w14:textId="77777777" w:rsidR="00B27AC9" w:rsidRPr="00B27AC9" w:rsidRDefault="00B27AC9" w:rsidP="00B27AC9">
      <w:pPr>
        <w:rPr>
          <w:color w:val="000000"/>
        </w:rPr>
      </w:pPr>
      <w:r w:rsidRPr="00B27AC9">
        <w:rPr>
          <w:rFonts w:ascii="Arial" w:hAnsi="Arial" w:cs="Arial"/>
          <w:color w:val="000000"/>
          <w:sz w:val="22"/>
          <w:szCs w:val="22"/>
        </w:rPr>
        <w:t xml:space="preserve">Figura 2 - Paciente do sexo feminino, 13 anos, portadora de Paralisia Cerebral GMFCS 5. a) Radiografia panorâmica pré-operatória demonstrando uma escoliose e obliquidade </w:t>
      </w:r>
      <w:proofErr w:type="spellStart"/>
      <w:r w:rsidRPr="00B27AC9">
        <w:rPr>
          <w:rFonts w:ascii="Arial" w:hAnsi="Arial" w:cs="Arial"/>
          <w:color w:val="000000"/>
          <w:sz w:val="22"/>
          <w:szCs w:val="22"/>
        </w:rPr>
        <w:t>pelvica</w:t>
      </w:r>
      <w:proofErr w:type="spellEnd"/>
      <w:r w:rsidRPr="00B27AC9">
        <w:rPr>
          <w:rFonts w:ascii="Arial" w:hAnsi="Arial" w:cs="Arial"/>
          <w:color w:val="000000"/>
          <w:sz w:val="22"/>
          <w:szCs w:val="22"/>
        </w:rPr>
        <w:t xml:space="preserve"> avançadas b) Radiografia pós-operatória demonstrando a correção da escoliose e da obliquidade da pelve com uma montagem de baixa densidade de parafusos na região lombar.</w:t>
      </w:r>
    </w:p>
    <w:p w14:paraId="409D49FB" w14:textId="77777777" w:rsidR="00B27AC9" w:rsidRPr="00B27AC9" w:rsidRDefault="00B27AC9" w:rsidP="00B27AC9">
      <w:pPr>
        <w:rPr>
          <w:color w:val="000000"/>
        </w:rPr>
      </w:pPr>
    </w:p>
    <w:p w14:paraId="6D2C0C0E" w14:textId="105869DD" w:rsidR="00B27AC9" w:rsidRPr="00B27AC9" w:rsidRDefault="00B27AC9" w:rsidP="00B27AC9">
      <w:pPr>
        <w:jc w:val="both"/>
        <w:rPr>
          <w:color w:val="000000"/>
        </w:rPr>
      </w:pPr>
      <w:r w:rsidRPr="00B27AC9">
        <w:rPr>
          <w:rFonts w:ascii="Arial" w:hAnsi="Arial" w:cs="Arial"/>
          <w:color w:val="000000"/>
          <w:sz w:val="22"/>
          <w:szCs w:val="22"/>
          <w:bdr w:val="none" w:sz="0" w:space="0" w:color="auto" w:frame="1"/>
        </w:rPr>
        <w:fldChar w:fldCharType="begin"/>
      </w:r>
      <w:r w:rsidRPr="00B27AC9">
        <w:rPr>
          <w:rFonts w:ascii="Arial" w:hAnsi="Arial" w:cs="Arial"/>
          <w:color w:val="000000"/>
          <w:sz w:val="22"/>
          <w:szCs w:val="22"/>
          <w:bdr w:val="none" w:sz="0" w:space="0" w:color="auto" w:frame="1"/>
        </w:rPr>
        <w:instrText xml:space="preserve"> INCLUDEPICTURE "https://lh4.googleusercontent.com/Sq8zZA8sSPl6s7TWcqWZipbwbl7bIoHOFjvME3c-d35sqcxzTEc6PztbZqQXvxKPQjhuGzx4b1mevOb5ijY8n_OcOnZaOCw8XRZiibJAO7h2Ko79FVV1DM57jd1TAO35I6I_jBzl" \* MERGEFORMATINET </w:instrText>
      </w:r>
      <w:r w:rsidRPr="00B27AC9">
        <w:rPr>
          <w:rFonts w:ascii="Arial" w:hAnsi="Arial" w:cs="Arial"/>
          <w:color w:val="000000"/>
          <w:sz w:val="22"/>
          <w:szCs w:val="22"/>
          <w:bdr w:val="none" w:sz="0" w:space="0" w:color="auto" w:frame="1"/>
        </w:rPr>
        <w:fldChar w:fldCharType="separate"/>
      </w:r>
      <w:r w:rsidRPr="00B27AC9">
        <w:rPr>
          <w:rFonts w:ascii="Arial" w:hAnsi="Arial" w:cs="Arial"/>
          <w:noProof/>
          <w:color w:val="000000"/>
          <w:sz w:val="22"/>
          <w:szCs w:val="22"/>
          <w:bdr w:val="none" w:sz="0" w:space="0" w:color="auto" w:frame="1"/>
        </w:rPr>
        <w:drawing>
          <wp:inline distT="0" distB="0" distL="0" distR="0" wp14:anchorId="3C571729" wp14:editId="44EB4239">
            <wp:extent cx="5396230" cy="3361690"/>
            <wp:effectExtent l="0" t="0" r="1270" b="3810"/>
            <wp:docPr id="3" name="Imagem 3" descr="Interface gráfica do usuário, Aplicativo, Team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 Aplicativo, Teams&#10;&#10;Descrição gerad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3361690"/>
                    </a:xfrm>
                    <a:prstGeom prst="rect">
                      <a:avLst/>
                    </a:prstGeom>
                    <a:noFill/>
                    <a:ln>
                      <a:noFill/>
                    </a:ln>
                  </pic:spPr>
                </pic:pic>
              </a:graphicData>
            </a:graphic>
          </wp:inline>
        </w:drawing>
      </w:r>
      <w:r w:rsidRPr="00B27AC9">
        <w:rPr>
          <w:rFonts w:ascii="Arial" w:hAnsi="Arial" w:cs="Arial"/>
          <w:color w:val="000000"/>
          <w:sz w:val="22"/>
          <w:szCs w:val="22"/>
          <w:bdr w:val="none" w:sz="0" w:space="0" w:color="auto" w:frame="1"/>
        </w:rPr>
        <w:fldChar w:fldCharType="end"/>
      </w:r>
    </w:p>
    <w:p w14:paraId="4DD7682D" w14:textId="77777777" w:rsidR="00B27AC9" w:rsidRPr="00B27AC9" w:rsidRDefault="00B27AC9" w:rsidP="00B27AC9">
      <w:pPr>
        <w:jc w:val="both"/>
        <w:rPr>
          <w:color w:val="000000"/>
        </w:rPr>
      </w:pPr>
      <w:r w:rsidRPr="00B27AC9">
        <w:rPr>
          <w:rFonts w:ascii="Arial" w:hAnsi="Arial" w:cs="Arial"/>
          <w:color w:val="000000"/>
          <w:sz w:val="22"/>
          <w:szCs w:val="22"/>
        </w:rPr>
        <w:lastRenderedPageBreak/>
        <w:t xml:space="preserve">Figura 3 - Paciente do sexo masculino, 12 anos de idade, portador de uma escoliose neuromuscular avançada associada a Mielomeningocele com </w:t>
      </w:r>
      <w:proofErr w:type="spellStart"/>
      <w:r w:rsidRPr="00B27AC9">
        <w:rPr>
          <w:rFonts w:ascii="Arial" w:hAnsi="Arial" w:cs="Arial"/>
          <w:color w:val="000000"/>
          <w:sz w:val="22"/>
          <w:szCs w:val="22"/>
        </w:rPr>
        <w:t>disrafismo</w:t>
      </w:r>
      <w:proofErr w:type="spellEnd"/>
      <w:r w:rsidRPr="00B27AC9">
        <w:rPr>
          <w:rFonts w:ascii="Arial" w:hAnsi="Arial" w:cs="Arial"/>
          <w:color w:val="000000"/>
          <w:sz w:val="22"/>
          <w:szCs w:val="22"/>
        </w:rPr>
        <w:t xml:space="preserve"> lombar e difícil compreensão anatômica. Imagem do sistema de </w:t>
      </w:r>
      <w:proofErr w:type="spellStart"/>
      <w:r w:rsidRPr="00B27AC9">
        <w:rPr>
          <w:rFonts w:ascii="Arial" w:hAnsi="Arial" w:cs="Arial"/>
          <w:color w:val="000000"/>
          <w:sz w:val="22"/>
          <w:szCs w:val="22"/>
        </w:rPr>
        <w:t>neuronavegação</w:t>
      </w:r>
      <w:proofErr w:type="spellEnd"/>
      <w:r w:rsidRPr="00B27AC9">
        <w:rPr>
          <w:rFonts w:ascii="Arial" w:hAnsi="Arial" w:cs="Arial"/>
          <w:color w:val="000000"/>
          <w:sz w:val="22"/>
          <w:szCs w:val="22"/>
        </w:rPr>
        <w:t xml:space="preserve"> mostrando a melhor trajetória do parafuso de S2AI no plano tridimensional.</w:t>
      </w:r>
    </w:p>
    <w:p w14:paraId="5BC4602F" w14:textId="77777777" w:rsidR="00B27AC9" w:rsidRPr="00B27AC9" w:rsidRDefault="00B27AC9" w:rsidP="00B27AC9">
      <w:pPr>
        <w:rPr>
          <w:color w:val="000000"/>
        </w:rPr>
      </w:pPr>
    </w:p>
    <w:p w14:paraId="17AAE31D" w14:textId="0D2E2FEF" w:rsidR="00B27AC9" w:rsidRPr="00B27AC9" w:rsidRDefault="00B27AC9" w:rsidP="00B27AC9">
      <w:pPr>
        <w:jc w:val="both"/>
        <w:rPr>
          <w:color w:val="000000"/>
        </w:rPr>
      </w:pPr>
      <w:r w:rsidRPr="00B27AC9">
        <w:rPr>
          <w:rFonts w:ascii="Arial" w:hAnsi="Arial" w:cs="Arial"/>
          <w:color w:val="000000"/>
          <w:sz w:val="22"/>
          <w:szCs w:val="22"/>
          <w:bdr w:val="none" w:sz="0" w:space="0" w:color="auto" w:frame="1"/>
        </w:rPr>
        <w:fldChar w:fldCharType="begin"/>
      </w:r>
      <w:r w:rsidRPr="00B27AC9">
        <w:rPr>
          <w:rFonts w:ascii="Arial" w:hAnsi="Arial" w:cs="Arial"/>
          <w:color w:val="000000"/>
          <w:sz w:val="22"/>
          <w:szCs w:val="22"/>
          <w:bdr w:val="none" w:sz="0" w:space="0" w:color="auto" w:frame="1"/>
        </w:rPr>
        <w:instrText xml:space="preserve"> INCLUDEPICTURE "https://lh5.googleusercontent.com/74H6f-T1yJdqftL5jx6G3vj_wZU109HYelXERqkT0bLQvzf_URktsH3MqmYJmtccts9BWEHX3wC8Uh5HgmBBF7EMybz9lDSjJxpYMM2-3_aFQL2r3fjizrVIcMErwyhPJej1lvwh" \* MERGEFORMATINET </w:instrText>
      </w:r>
      <w:r w:rsidRPr="00B27AC9">
        <w:rPr>
          <w:rFonts w:ascii="Arial" w:hAnsi="Arial" w:cs="Arial"/>
          <w:color w:val="000000"/>
          <w:sz w:val="22"/>
          <w:szCs w:val="22"/>
          <w:bdr w:val="none" w:sz="0" w:space="0" w:color="auto" w:frame="1"/>
        </w:rPr>
        <w:fldChar w:fldCharType="separate"/>
      </w:r>
      <w:r w:rsidRPr="00B27AC9">
        <w:rPr>
          <w:rFonts w:ascii="Arial" w:hAnsi="Arial" w:cs="Arial"/>
          <w:noProof/>
          <w:color w:val="000000"/>
          <w:sz w:val="22"/>
          <w:szCs w:val="22"/>
          <w:bdr w:val="none" w:sz="0" w:space="0" w:color="auto" w:frame="1"/>
        </w:rPr>
        <w:drawing>
          <wp:inline distT="0" distB="0" distL="0" distR="0" wp14:anchorId="7420602D" wp14:editId="1D8B89B2">
            <wp:extent cx="5396230" cy="3368675"/>
            <wp:effectExtent l="0" t="0" r="1270" b="0"/>
            <wp:docPr id="2" name="Imagem 2" descr="Uma imagem contendo mesa, óculos, em pé, homem&#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mesa, óculos, em pé, homem&#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3368675"/>
                    </a:xfrm>
                    <a:prstGeom prst="rect">
                      <a:avLst/>
                    </a:prstGeom>
                    <a:noFill/>
                    <a:ln>
                      <a:noFill/>
                    </a:ln>
                  </pic:spPr>
                </pic:pic>
              </a:graphicData>
            </a:graphic>
          </wp:inline>
        </w:drawing>
      </w:r>
      <w:r w:rsidRPr="00B27AC9">
        <w:rPr>
          <w:rFonts w:ascii="Arial" w:hAnsi="Arial" w:cs="Arial"/>
          <w:color w:val="000000"/>
          <w:sz w:val="22"/>
          <w:szCs w:val="22"/>
          <w:bdr w:val="none" w:sz="0" w:space="0" w:color="auto" w:frame="1"/>
        </w:rPr>
        <w:fldChar w:fldCharType="end"/>
      </w:r>
    </w:p>
    <w:p w14:paraId="11D78291" w14:textId="77777777" w:rsidR="00B27AC9" w:rsidRPr="00B27AC9" w:rsidRDefault="00B27AC9" w:rsidP="00B27AC9">
      <w:pPr>
        <w:jc w:val="both"/>
        <w:rPr>
          <w:color w:val="000000"/>
        </w:rPr>
      </w:pPr>
      <w:r w:rsidRPr="00B27AC9">
        <w:rPr>
          <w:rFonts w:ascii="Arial" w:hAnsi="Arial" w:cs="Arial"/>
          <w:color w:val="000000"/>
          <w:sz w:val="22"/>
          <w:szCs w:val="22"/>
        </w:rPr>
        <w:t xml:space="preserve">Figura 4 - Paciente do sexo feminino, 26 anos, com sequela de traumatismo </w:t>
      </w:r>
      <w:proofErr w:type="spellStart"/>
      <w:r w:rsidRPr="00B27AC9">
        <w:rPr>
          <w:rFonts w:ascii="Arial" w:hAnsi="Arial" w:cs="Arial"/>
          <w:color w:val="000000"/>
          <w:sz w:val="22"/>
          <w:szCs w:val="22"/>
        </w:rPr>
        <w:t>raquimedular</w:t>
      </w:r>
      <w:proofErr w:type="spellEnd"/>
      <w:r w:rsidRPr="00B27AC9">
        <w:rPr>
          <w:rFonts w:ascii="Arial" w:hAnsi="Arial" w:cs="Arial"/>
          <w:color w:val="000000"/>
          <w:sz w:val="22"/>
          <w:szCs w:val="22"/>
        </w:rPr>
        <w:t xml:space="preserve"> e paraplegia. a) Radiografia panorâmica demonstrando uma escoliose avançada com 40º de obliquidade </w:t>
      </w:r>
      <w:proofErr w:type="spellStart"/>
      <w:r w:rsidRPr="00B27AC9">
        <w:rPr>
          <w:rFonts w:ascii="Arial" w:hAnsi="Arial" w:cs="Arial"/>
          <w:color w:val="000000"/>
          <w:sz w:val="22"/>
          <w:szCs w:val="22"/>
        </w:rPr>
        <w:t>pelvica</w:t>
      </w:r>
      <w:proofErr w:type="spellEnd"/>
      <w:r w:rsidRPr="00B27AC9">
        <w:rPr>
          <w:rFonts w:ascii="Arial" w:hAnsi="Arial" w:cs="Arial"/>
          <w:color w:val="000000"/>
          <w:sz w:val="22"/>
          <w:szCs w:val="22"/>
        </w:rPr>
        <w:t xml:space="preserve"> no pré-operatório b) Imagem do pós-operatório imediato com correção parcial da obliquidade da pelve c) Imagem ao final do seguimento com falha do parafuso de S2AI do lado da concavidade lombar, quebra da haste e perda da correção da obliquidade pélvica. </w:t>
      </w:r>
    </w:p>
    <w:p w14:paraId="13B89C8A" w14:textId="77777777" w:rsidR="00B27AC9" w:rsidRPr="00B27AC9" w:rsidRDefault="00B27AC9" w:rsidP="00B27AC9">
      <w:pPr>
        <w:rPr>
          <w:color w:val="000000"/>
        </w:rPr>
      </w:pPr>
    </w:p>
    <w:p w14:paraId="2C5A25E3" w14:textId="65625B6E" w:rsidR="00B27AC9" w:rsidRPr="00B27AC9" w:rsidRDefault="00ED13F2" w:rsidP="00B27AC9">
      <w:pPr>
        <w:jc w:val="both"/>
        <w:rPr>
          <w:color w:val="000000"/>
        </w:rPr>
      </w:pPr>
      <w:r w:rsidRPr="00B27AC9">
        <w:rPr>
          <w:rFonts w:ascii="Arial" w:hAnsi="Arial" w:cs="Arial"/>
          <w:color w:val="000000"/>
          <w:sz w:val="22"/>
          <w:szCs w:val="22"/>
          <w:bdr w:val="none" w:sz="0" w:space="0" w:color="auto" w:frame="1"/>
        </w:rPr>
        <w:fldChar w:fldCharType="begin"/>
      </w:r>
      <w:r w:rsidRPr="00B27AC9">
        <w:rPr>
          <w:rFonts w:ascii="Arial" w:hAnsi="Arial" w:cs="Arial"/>
          <w:color w:val="000000"/>
          <w:sz w:val="22"/>
          <w:szCs w:val="22"/>
          <w:bdr w:val="none" w:sz="0" w:space="0" w:color="auto" w:frame="1"/>
        </w:rPr>
        <w:instrText xml:space="preserve"> INCLUDEPICTURE "https://lh4.googleusercontent.com/bdLXoP2x_cr9WctS_y99agu-WHypy1wVqZd3rprCwcZVi_njXLJ348e0dzBAuEizIWmqKp0HzZzu36KrBq0Qw4CQr0ePkAMVSgfwOwqpByf3esGMrljMUlI9cQJTzRpD8tNE2X_Z" \* MERGEFORMATINET </w:instrText>
      </w:r>
      <w:r w:rsidRPr="00B27AC9">
        <w:rPr>
          <w:rFonts w:ascii="Arial" w:hAnsi="Arial" w:cs="Arial"/>
          <w:color w:val="000000"/>
          <w:sz w:val="22"/>
          <w:szCs w:val="22"/>
          <w:bdr w:val="none" w:sz="0" w:space="0" w:color="auto" w:frame="1"/>
        </w:rPr>
        <w:fldChar w:fldCharType="separate"/>
      </w:r>
      <w:r w:rsidRPr="00B27AC9">
        <w:rPr>
          <w:rFonts w:ascii="Arial" w:hAnsi="Arial" w:cs="Arial"/>
          <w:noProof/>
          <w:color w:val="000000"/>
          <w:sz w:val="22"/>
          <w:szCs w:val="22"/>
          <w:bdr w:val="none" w:sz="0" w:space="0" w:color="auto" w:frame="1"/>
        </w:rPr>
        <w:drawing>
          <wp:inline distT="0" distB="0" distL="0" distR="0" wp14:anchorId="095A713E" wp14:editId="6DB708AD">
            <wp:extent cx="5396230" cy="3328035"/>
            <wp:effectExtent l="0" t="0" r="1270" b="0"/>
            <wp:docPr id="1" name="Imagem 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linhas&#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3328035"/>
                    </a:xfrm>
                    <a:prstGeom prst="rect">
                      <a:avLst/>
                    </a:prstGeom>
                    <a:noFill/>
                    <a:ln>
                      <a:noFill/>
                    </a:ln>
                  </pic:spPr>
                </pic:pic>
              </a:graphicData>
            </a:graphic>
          </wp:inline>
        </w:drawing>
      </w:r>
      <w:r w:rsidRPr="00B27AC9">
        <w:rPr>
          <w:rFonts w:ascii="Arial" w:hAnsi="Arial" w:cs="Arial"/>
          <w:color w:val="000000"/>
          <w:sz w:val="22"/>
          <w:szCs w:val="22"/>
          <w:bdr w:val="none" w:sz="0" w:space="0" w:color="auto" w:frame="1"/>
        </w:rPr>
        <w:fldChar w:fldCharType="end"/>
      </w:r>
    </w:p>
    <w:p w14:paraId="196C4172" w14:textId="77777777" w:rsidR="00B27AC9" w:rsidRPr="00B27AC9" w:rsidRDefault="00B27AC9" w:rsidP="00B27AC9">
      <w:pPr>
        <w:jc w:val="both"/>
        <w:rPr>
          <w:color w:val="000000"/>
        </w:rPr>
      </w:pPr>
      <w:r w:rsidRPr="00B27AC9">
        <w:rPr>
          <w:rFonts w:ascii="Arial" w:hAnsi="Arial" w:cs="Arial"/>
          <w:color w:val="000000"/>
          <w:sz w:val="22"/>
          <w:szCs w:val="22"/>
        </w:rPr>
        <w:lastRenderedPageBreak/>
        <w:t>Figura 5 - Gráfico ilustrando o comportamento da obliquidade pélvica entre os grupos de pacientes que perderam correção e os que mantiveram. </w:t>
      </w:r>
    </w:p>
    <w:p w14:paraId="2BA51920" w14:textId="77777777" w:rsidR="001B1F94" w:rsidRDefault="00B27AC9" w:rsidP="00B27AC9">
      <w:pPr>
        <w:spacing w:after="240"/>
        <w:rPr>
          <w:color w:val="000000"/>
        </w:rPr>
      </w:pPr>
      <w:r w:rsidRPr="00B27AC9">
        <w:rPr>
          <w:color w:val="000000"/>
        </w:rPr>
        <w:br/>
      </w:r>
    </w:p>
    <w:tbl>
      <w:tblPr>
        <w:tblW w:w="8399" w:type="dxa"/>
        <w:tblCellMar>
          <w:left w:w="70" w:type="dxa"/>
          <w:right w:w="70" w:type="dxa"/>
        </w:tblCellMar>
        <w:tblLook w:val="04A0" w:firstRow="1" w:lastRow="0" w:firstColumn="1" w:lastColumn="0" w:noHBand="0" w:noVBand="1"/>
      </w:tblPr>
      <w:tblGrid>
        <w:gridCol w:w="8399"/>
      </w:tblGrid>
      <w:tr w:rsidR="001B1F94" w:rsidRPr="00B27AC9" w14:paraId="5C88CB02" w14:textId="77777777" w:rsidTr="00856516">
        <w:trPr>
          <w:trHeight w:val="260"/>
        </w:trPr>
        <w:tc>
          <w:tcPr>
            <w:tcW w:w="6763" w:type="dxa"/>
            <w:tcBorders>
              <w:top w:val="nil"/>
              <w:left w:val="nil"/>
              <w:bottom w:val="nil"/>
              <w:right w:val="nil"/>
            </w:tcBorders>
            <w:shd w:val="clear" w:color="auto" w:fill="auto"/>
            <w:noWrap/>
            <w:vAlign w:val="bottom"/>
            <w:hideMark/>
          </w:tcPr>
          <w:p w14:paraId="77C1AFF9" w14:textId="3CD86F33" w:rsidR="001B1F94" w:rsidRPr="00B27AC9" w:rsidRDefault="001B1F94" w:rsidP="00856516">
            <w:pPr>
              <w:rPr>
                <w:rFonts w:ascii="Arial" w:hAnsi="Arial" w:cs="Arial"/>
                <w:b/>
                <w:bCs/>
                <w:color w:val="000000"/>
                <w:sz w:val="20"/>
                <w:szCs w:val="20"/>
              </w:rPr>
            </w:pPr>
            <w:r>
              <w:rPr>
                <w:rFonts w:ascii="Arial" w:hAnsi="Arial" w:cs="Arial"/>
                <w:b/>
                <w:bCs/>
                <w:color w:val="000000"/>
                <w:sz w:val="20"/>
                <w:szCs w:val="20"/>
              </w:rPr>
              <w:t xml:space="preserve">Tabela </w:t>
            </w:r>
            <w:r>
              <w:rPr>
                <w:rFonts w:ascii="Arial" w:hAnsi="Arial" w:cs="Arial"/>
                <w:b/>
                <w:bCs/>
                <w:color w:val="000000"/>
                <w:sz w:val="20"/>
                <w:szCs w:val="20"/>
              </w:rPr>
              <w:t>1</w:t>
            </w:r>
            <w:r>
              <w:rPr>
                <w:rFonts w:ascii="Arial" w:hAnsi="Arial" w:cs="Arial"/>
                <w:b/>
                <w:bCs/>
                <w:color w:val="000000"/>
                <w:sz w:val="20"/>
                <w:szCs w:val="20"/>
              </w:rPr>
              <w:t xml:space="preserve"> - </w:t>
            </w:r>
            <w:r w:rsidRPr="001B1F94">
              <w:rPr>
                <w:rFonts w:ascii="Arial" w:hAnsi="Arial" w:cs="Arial"/>
                <w:b/>
                <w:bCs/>
                <w:color w:val="000000"/>
                <w:sz w:val="20"/>
                <w:szCs w:val="20"/>
              </w:rPr>
              <w:t xml:space="preserve">Características </w:t>
            </w:r>
            <w:r>
              <w:rPr>
                <w:rFonts w:ascii="Arial" w:hAnsi="Arial" w:cs="Arial"/>
                <w:b/>
                <w:bCs/>
                <w:color w:val="000000"/>
                <w:sz w:val="20"/>
                <w:szCs w:val="20"/>
              </w:rPr>
              <w:t>D</w:t>
            </w:r>
            <w:r w:rsidRPr="001B1F94">
              <w:rPr>
                <w:rFonts w:ascii="Arial" w:hAnsi="Arial" w:cs="Arial"/>
                <w:b/>
                <w:bCs/>
                <w:color w:val="000000"/>
                <w:sz w:val="20"/>
                <w:szCs w:val="20"/>
              </w:rPr>
              <w:t>emográficas</w:t>
            </w:r>
          </w:p>
        </w:tc>
      </w:tr>
      <w:tr w:rsidR="001B1F94" w:rsidRPr="00B27AC9" w14:paraId="24683DFB" w14:textId="77777777" w:rsidTr="00856516">
        <w:trPr>
          <w:trHeight w:val="260"/>
        </w:trPr>
        <w:tc>
          <w:tcPr>
            <w:tcW w:w="6763" w:type="dxa"/>
            <w:tcBorders>
              <w:top w:val="nil"/>
              <w:left w:val="nil"/>
              <w:bottom w:val="nil"/>
              <w:right w:val="nil"/>
            </w:tcBorders>
            <w:shd w:val="clear" w:color="auto" w:fill="auto"/>
            <w:noWrap/>
            <w:vAlign w:val="bottom"/>
            <w:hideMark/>
          </w:tcPr>
          <w:tbl>
            <w:tblPr>
              <w:tblStyle w:val="Tabelacomgrade"/>
              <w:tblpPr w:leftFromText="141" w:rightFromText="141" w:horzAnchor="page" w:tblpX="-146" w:tblpY="1"/>
              <w:tblOverlap w:val="never"/>
              <w:tblW w:w="7939" w:type="dxa"/>
              <w:tblLook w:val="04A0" w:firstRow="1" w:lastRow="0" w:firstColumn="1" w:lastColumn="0" w:noHBand="0" w:noVBand="1"/>
            </w:tblPr>
            <w:tblGrid>
              <w:gridCol w:w="4735"/>
              <w:gridCol w:w="3204"/>
            </w:tblGrid>
            <w:tr w:rsidR="001B1F94" w14:paraId="36FD66DA" w14:textId="77777777" w:rsidTr="001B1F94">
              <w:trPr>
                <w:trHeight w:val="199"/>
              </w:trPr>
              <w:tc>
                <w:tcPr>
                  <w:tcW w:w="4735" w:type="dxa"/>
                </w:tcPr>
                <w:p w14:paraId="06E0E6C5" w14:textId="7917B51F" w:rsidR="001B1F94" w:rsidRDefault="001B1F94" w:rsidP="00856516">
                  <w:pPr>
                    <w:jc w:val="center"/>
                    <w:rPr>
                      <w:rFonts w:ascii="Arial" w:hAnsi="Arial" w:cs="Arial"/>
                      <w:b/>
                      <w:bCs/>
                      <w:color w:val="000000"/>
                      <w:sz w:val="20"/>
                      <w:szCs w:val="20"/>
                    </w:rPr>
                  </w:pPr>
                </w:p>
              </w:tc>
              <w:tc>
                <w:tcPr>
                  <w:tcW w:w="3204" w:type="dxa"/>
                </w:tcPr>
                <w:p w14:paraId="7D01BB46" w14:textId="66CE0CC6" w:rsidR="001B1F94" w:rsidRDefault="0095715C" w:rsidP="00856516">
                  <w:pPr>
                    <w:jc w:val="center"/>
                    <w:rPr>
                      <w:rFonts w:ascii="Arial" w:hAnsi="Arial" w:cs="Arial"/>
                      <w:b/>
                      <w:bCs/>
                      <w:color w:val="000000"/>
                      <w:sz w:val="20"/>
                      <w:szCs w:val="20"/>
                    </w:rPr>
                  </w:pPr>
                  <w:r>
                    <w:rPr>
                      <w:rFonts w:ascii="Arial" w:hAnsi="Arial" w:cs="Arial"/>
                      <w:b/>
                      <w:bCs/>
                      <w:color w:val="000000"/>
                      <w:sz w:val="20"/>
                      <w:szCs w:val="20"/>
                    </w:rPr>
                    <w:t>N (%)</w:t>
                  </w:r>
                </w:p>
              </w:tc>
            </w:tr>
            <w:tr w:rsidR="001B1F94" w14:paraId="1E090C3D" w14:textId="77777777" w:rsidTr="001B1F94">
              <w:trPr>
                <w:trHeight w:val="219"/>
              </w:trPr>
              <w:tc>
                <w:tcPr>
                  <w:tcW w:w="4735" w:type="dxa"/>
                  <w:vAlign w:val="bottom"/>
                </w:tcPr>
                <w:p w14:paraId="67C7BAF3" w14:textId="4A25DF4D" w:rsidR="001B1F94" w:rsidRPr="001B1F94" w:rsidRDefault="001B1F94" w:rsidP="001B1F94">
                  <w:pPr>
                    <w:rPr>
                      <w:rFonts w:ascii="Arial" w:hAnsi="Arial" w:cs="Arial"/>
                      <w:color w:val="000000"/>
                      <w:sz w:val="20"/>
                      <w:szCs w:val="20"/>
                    </w:rPr>
                  </w:pPr>
                  <w:r>
                    <w:rPr>
                      <w:rFonts w:ascii="Arial" w:hAnsi="Arial" w:cs="Arial"/>
                      <w:b/>
                      <w:bCs/>
                      <w:color w:val="000000"/>
                      <w:sz w:val="20"/>
                      <w:szCs w:val="20"/>
                    </w:rPr>
                    <w:t xml:space="preserve">Sexo                       </w:t>
                  </w:r>
                  <w:r w:rsidRPr="001B1F94">
                    <w:rPr>
                      <w:rFonts w:ascii="Arial" w:hAnsi="Arial" w:cs="Arial"/>
                      <w:color w:val="000000"/>
                      <w:sz w:val="20"/>
                      <w:szCs w:val="20"/>
                    </w:rPr>
                    <w:t>Masculino</w:t>
                  </w:r>
                </w:p>
                <w:p w14:paraId="325F90A3" w14:textId="79795384" w:rsidR="001B1F94" w:rsidRDefault="001B1F94" w:rsidP="001B1F94">
                  <w:pPr>
                    <w:jc w:val="center"/>
                    <w:rPr>
                      <w:rFonts w:ascii="Arial" w:hAnsi="Arial" w:cs="Arial"/>
                      <w:b/>
                      <w:bCs/>
                      <w:color w:val="000000"/>
                      <w:sz w:val="20"/>
                      <w:szCs w:val="20"/>
                    </w:rPr>
                  </w:pPr>
                  <w:r w:rsidRPr="001B1F94">
                    <w:rPr>
                      <w:rFonts w:ascii="Arial" w:hAnsi="Arial" w:cs="Arial"/>
                      <w:color w:val="000000"/>
                      <w:sz w:val="20"/>
                      <w:szCs w:val="20"/>
                    </w:rPr>
                    <w:t>Feminino</w:t>
                  </w:r>
                  <w:r>
                    <w:rPr>
                      <w:rFonts w:ascii="Arial" w:hAnsi="Arial" w:cs="Arial"/>
                      <w:b/>
                      <w:bCs/>
                      <w:color w:val="000000"/>
                      <w:sz w:val="20"/>
                      <w:szCs w:val="20"/>
                    </w:rPr>
                    <w:t xml:space="preserve"> </w:t>
                  </w:r>
                </w:p>
              </w:tc>
              <w:tc>
                <w:tcPr>
                  <w:tcW w:w="3204" w:type="dxa"/>
                  <w:vAlign w:val="bottom"/>
                </w:tcPr>
                <w:p w14:paraId="16E303CB" w14:textId="77777777" w:rsidR="001B1F94" w:rsidRDefault="001B1F94" w:rsidP="001B1F94">
                  <w:pPr>
                    <w:jc w:val="center"/>
                    <w:rPr>
                      <w:rFonts w:ascii="Arial" w:hAnsi="Arial" w:cs="Arial"/>
                      <w:color w:val="000000"/>
                      <w:sz w:val="20"/>
                      <w:szCs w:val="20"/>
                    </w:rPr>
                  </w:pPr>
                  <w:r w:rsidRPr="001B1F94">
                    <w:rPr>
                      <w:rFonts w:ascii="Arial" w:hAnsi="Arial" w:cs="Arial"/>
                      <w:color w:val="000000"/>
                      <w:sz w:val="20"/>
                      <w:szCs w:val="20"/>
                    </w:rPr>
                    <w:t>17 (48,6%)</w:t>
                  </w:r>
                </w:p>
                <w:p w14:paraId="173C9615" w14:textId="7376FB5C" w:rsidR="001B1F94" w:rsidRPr="001B1F94" w:rsidRDefault="001B1F94" w:rsidP="001B1F94">
                  <w:pPr>
                    <w:jc w:val="center"/>
                    <w:rPr>
                      <w:rFonts w:ascii="Arial" w:hAnsi="Arial" w:cs="Arial"/>
                      <w:color w:val="000000"/>
                      <w:sz w:val="20"/>
                      <w:szCs w:val="20"/>
                    </w:rPr>
                  </w:pPr>
                  <w:r>
                    <w:rPr>
                      <w:rFonts w:ascii="Arial" w:hAnsi="Arial" w:cs="Arial"/>
                      <w:color w:val="000000"/>
                      <w:sz w:val="20"/>
                      <w:szCs w:val="20"/>
                    </w:rPr>
                    <w:t>18 (51,4%)</w:t>
                  </w:r>
                </w:p>
              </w:tc>
            </w:tr>
            <w:tr w:rsidR="001B1F94" w14:paraId="23BFE8DC" w14:textId="77777777" w:rsidTr="001B1F94">
              <w:trPr>
                <w:trHeight w:val="135"/>
              </w:trPr>
              <w:tc>
                <w:tcPr>
                  <w:tcW w:w="4735" w:type="dxa"/>
                  <w:vAlign w:val="bottom"/>
                </w:tcPr>
                <w:p w14:paraId="5C275354" w14:textId="63E2A70F" w:rsidR="001B1F94" w:rsidRDefault="001B1F94" w:rsidP="001B1F94">
                  <w:pPr>
                    <w:jc w:val="center"/>
                    <w:rPr>
                      <w:rFonts w:ascii="Arial" w:hAnsi="Arial" w:cs="Arial"/>
                      <w:b/>
                      <w:bCs/>
                      <w:color w:val="000000"/>
                      <w:sz w:val="20"/>
                      <w:szCs w:val="20"/>
                    </w:rPr>
                  </w:pPr>
                  <w:r>
                    <w:rPr>
                      <w:rFonts w:ascii="Arial" w:hAnsi="Arial" w:cs="Arial"/>
                      <w:color w:val="000000"/>
                      <w:sz w:val="20"/>
                      <w:szCs w:val="20"/>
                    </w:rPr>
                    <w:t xml:space="preserve">Idade </w:t>
                  </w:r>
                </w:p>
              </w:tc>
              <w:tc>
                <w:tcPr>
                  <w:tcW w:w="3204" w:type="dxa"/>
                  <w:vAlign w:val="bottom"/>
                </w:tcPr>
                <w:p w14:paraId="6BB4AF2E" w14:textId="2831360A" w:rsidR="001B1F94" w:rsidRDefault="001B1F94" w:rsidP="001B1F94">
                  <w:pPr>
                    <w:jc w:val="center"/>
                    <w:rPr>
                      <w:rFonts w:ascii="Arial" w:hAnsi="Arial" w:cs="Arial"/>
                      <w:b/>
                      <w:bCs/>
                      <w:color w:val="000000"/>
                      <w:sz w:val="20"/>
                      <w:szCs w:val="20"/>
                    </w:rPr>
                  </w:pPr>
                  <w:r w:rsidRPr="001B1F94">
                    <w:rPr>
                      <w:rFonts w:ascii="Arial" w:hAnsi="Arial" w:cs="Arial"/>
                      <w:color w:val="000000"/>
                      <w:sz w:val="20"/>
                      <w:szCs w:val="20"/>
                    </w:rPr>
                    <w:t>14,9 (4,0)</w:t>
                  </w:r>
                </w:p>
              </w:tc>
            </w:tr>
            <w:tr w:rsidR="001B1F94" w14:paraId="037526E3" w14:textId="77777777" w:rsidTr="001B1F94">
              <w:trPr>
                <w:trHeight w:val="199"/>
              </w:trPr>
              <w:tc>
                <w:tcPr>
                  <w:tcW w:w="4735" w:type="dxa"/>
                  <w:vAlign w:val="bottom"/>
                </w:tcPr>
                <w:p w14:paraId="17EBA392" w14:textId="77777777" w:rsidR="001B1F94" w:rsidRPr="001B1F94" w:rsidRDefault="001B1F94" w:rsidP="001B1F94">
                  <w:pPr>
                    <w:rPr>
                      <w:rFonts w:ascii="Arial" w:hAnsi="Arial" w:cs="Arial"/>
                      <w:b/>
                      <w:bCs/>
                      <w:color w:val="000000"/>
                      <w:sz w:val="20"/>
                      <w:szCs w:val="20"/>
                    </w:rPr>
                  </w:pPr>
                  <w:r w:rsidRPr="001B1F94">
                    <w:rPr>
                      <w:rFonts w:ascii="Arial" w:hAnsi="Arial" w:cs="Arial"/>
                      <w:b/>
                      <w:bCs/>
                      <w:color w:val="000000"/>
                      <w:sz w:val="20"/>
                      <w:szCs w:val="20"/>
                    </w:rPr>
                    <w:t>IMC</w:t>
                  </w:r>
                </w:p>
                <w:p w14:paraId="6B027892" w14:textId="77777777" w:rsidR="001B1F94" w:rsidRPr="001B1F94" w:rsidRDefault="001B1F94" w:rsidP="001B1F94">
                  <w:pPr>
                    <w:jc w:val="center"/>
                    <w:rPr>
                      <w:rFonts w:ascii="Arial" w:hAnsi="Arial" w:cs="Arial"/>
                      <w:color w:val="000000"/>
                      <w:sz w:val="20"/>
                      <w:szCs w:val="20"/>
                    </w:rPr>
                  </w:pPr>
                  <w:r w:rsidRPr="001B1F94">
                    <w:rPr>
                      <w:rFonts w:ascii="Arial" w:hAnsi="Arial" w:cs="Arial"/>
                      <w:color w:val="000000"/>
                      <w:sz w:val="20"/>
                      <w:szCs w:val="20"/>
                    </w:rPr>
                    <w:t>Baixo peso</w:t>
                  </w:r>
                </w:p>
                <w:p w14:paraId="6135C5E9" w14:textId="0C1E24DB" w:rsidR="001B1F94" w:rsidRPr="001B1F94" w:rsidRDefault="001B1F94" w:rsidP="001B1F94">
                  <w:pPr>
                    <w:jc w:val="center"/>
                    <w:rPr>
                      <w:rFonts w:ascii="Arial" w:hAnsi="Arial" w:cs="Arial"/>
                      <w:color w:val="000000"/>
                      <w:sz w:val="20"/>
                      <w:szCs w:val="20"/>
                      <w:lang w:val="en-US"/>
                    </w:rPr>
                  </w:pPr>
                  <w:r w:rsidRPr="001B1F94">
                    <w:rPr>
                      <w:rFonts w:ascii="Arial" w:hAnsi="Arial" w:cs="Arial"/>
                      <w:color w:val="000000"/>
                      <w:sz w:val="20"/>
                      <w:szCs w:val="20"/>
                      <w:lang w:val="en-US"/>
                    </w:rPr>
                    <w:t>Normal</w:t>
                  </w:r>
                </w:p>
                <w:p w14:paraId="52610308" w14:textId="6F2F7EBE" w:rsidR="001B1F94" w:rsidRPr="00B27AC9" w:rsidRDefault="001B1F94" w:rsidP="001B1F94">
                  <w:pPr>
                    <w:jc w:val="center"/>
                    <w:rPr>
                      <w:rFonts w:ascii="Arial" w:hAnsi="Arial" w:cs="Arial"/>
                      <w:b/>
                      <w:bCs/>
                      <w:color w:val="000000"/>
                      <w:sz w:val="20"/>
                      <w:szCs w:val="20"/>
                      <w:lang w:val="en-US"/>
                    </w:rPr>
                  </w:pPr>
                  <w:r w:rsidRPr="001B1F94">
                    <w:rPr>
                      <w:rFonts w:ascii="Arial" w:hAnsi="Arial" w:cs="Arial"/>
                      <w:color w:val="000000"/>
                      <w:sz w:val="20"/>
                      <w:szCs w:val="20"/>
                      <w:lang w:val="en-US"/>
                    </w:rPr>
                    <w:t>Sobrepeso</w:t>
                  </w:r>
                </w:p>
              </w:tc>
              <w:tc>
                <w:tcPr>
                  <w:tcW w:w="3204" w:type="dxa"/>
                  <w:vAlign w:val="bottom"/>
                </w:tcPr>
                <w:p w14:paraId="5BB949C5" w14:textId="40AAA764" w:rsidR="001B1F94" w:rsidRDefault="001B1F94" w:rsidP="001B1F94">
                  <w:pPr>
                    <w:jc w:val="center"/>
                    <w:rPr>
                      <w:rFonts w:ascii="Arial" w:hAnsi="Arial" w:cs="Arial"/>
                      <w:color w:val="000000"/>
                      <w:sz w:val="20"/>
                      <w:szCs w:val="20"/>
                    </w:rPr>
                  </w:pPr>
                  <w:r>
                    <w:rPr>
                      <w:rFonts w:ascii="Arial" w:hAnsi="Arial" w:cs="Arial"/>
                      <w:color w:val="000000"/>
                      <w:sz w:val="20"/>
                      <w:szCs w:val="20"/>
                    </w:rPr>
                    <w:t>22 (62,9%)</w:t>
                  </w:r>
                </w:p>
                <w:p w14:paraId="0AE0311C" w14:textId="5B0E5D86" w:rsidR="001B1F94" w:rsidRDefault="001B1F94" w:rsidP="001B1F94">
                  <w:pPr>
                    <w:jc w:val="center"/>
                    <w:rPr>
                      <w:rFonts w:ascii="Arial" w:hAnsi="Arial" w:cs="Arial"/>
                      <w:color w:val="000000"/>
                      <w:sz w:val="20"/>
                      <w:szCs w:val="20"/>
                    </w:rPr>
                  </w:pPr>
                  <w:r>
                    <w:rPr>
                      <w:rFonts w:ascii="Arial" w:hAnsi="Arial" w:cs="Arial"/>
                      <w:color w:val="000000"/>
                      <w:sz w:val="20"/>
                      <w:szCs w:val="20"/>
                    </w:rPr>
                    <w:t>7 (20,0%)</w:t>
                  </w:r>
                </w:p>
                <w:p w14:paraId="6EBE240B" w14:textId="3F73D25E" w:rsidR="001B1F94" w:rsidRPr="001B1F94" w:rsidRDefault="001B1F94" w:rsidP="001B1F94">
                  <w:pPr>
                    <w:jc w:val="center"/>
                    <w:rPr>
                      <w:rFonts w:ascii="Arial" w:hAnsi="Arial" w:cs="Arial"/>
                      <w:color w:val="000000"/>
                      <w:sz w:val="20"/>
                      <w:szCs w:val="20"/>
                    </w:rPr>
                  </w:pPr>
                  <w:r w:rsidRPr="001B1F94">
                    <w:rPr>
                      <w:rFonts w:ascii="Arial" w:hAnsi="Arial" w:cs="Arial"/>
                      <w:color w:val="000000"/>
                      <w:sz w:val="20"/>
                      <w:szCs w:val="20"/>
                    </w:rPr>
                    <w:t>6 (17,1%)</w:t>
                  </w:r>
                </w:p>
              </w:tc>
            </w:tr>
            <w:tr w:rsidR="001B1F94" w14:paraId="67CF5EEA" w14:textId="77777777" w:rsidTr="001B1F94">
              <w:trPr>
                <w:trHeight w:val="219"/>
              </w:trPr>
              <w:tc>
                <w:tcPr>
                  <w:tcW w:w="4735" w:type="dxa"/>
                  <w:vAlign w:val="bottom"/>
                </w:tcPr>
                <w:p w14:paraId="4B848DA8" w14:textId="77777777" w:rsidR="001B1F94" w:rsidRDefault="001B1F94" w:rsidP="001B1F94">
                  <w:pPr>
                    <w:rPr>
                      <w:rFonts w:ascii="Arial" w:hAnsi="Arial" w:cs="Arial"/>
                      <w:b/>
                      <w:bCs/>
                      <w:color w:val="000000"/>
                      <w:sz w:val="20"/>
                      <w:szCs w:val="20"/>
                    </w:rPr>
                  </w:pPr>
                  <w:r w:rsidRPr="001B1F94">
                    <w:rPr>
                      <w:rFonts w:ascii="Arial" w:hAnsi="Arial" w:cs="Arial"/>
                      <w:b/>
                      <w:bCs/>
                      <w:color w:val="000000"/>
                      <w:sz w:val="20"/>
                      <w:szCs w:val="20"/>
                    </w:rPr>
                    <w:t>Etiologia</w:t>
                  </w:r>
                </w:p>
                <w:p w14:paraId="064A50CA" w14:textId="02303DC2" w:rsidR="001B1F94" w:rsidRPr="001B1F94" w:rsidRDefault="001B1F94" w:rsidP="001B1F94">
                  <w:pPr>
                    <w:jc w:val="center"/>
                    <w:rPr>
                      <w:rFonts w:ascii="Arial" w:hAnsi="Arial" w:cs="Arial"/>
                      <w:color w:val="000000"/>
                      <w:sz w:val="20"/>
                      <w:szCs w:val="20"/>
                    </w:rPr>
                  </w:pPr>
                  <w:r w:rsidRPr="001B1F94">
                    <w:rPr>
                      <w:rFonts w:ascii="Arial" w:hAnsi="Arial" w:cs="Arial"/>
                      <w:color w:val="000000"/>
                      <w:sz w:val="20"/>
                      <w:szCs w:val="20"/>
                    </w:rPr>
                    <w:t>Paralisia Cerebral</w:t>
                  </w:r>
                </w:p>
                <w:p w14:paraId="5F9B3BEF" w14:textId="77777777" w:rsidR="001B1F94" w:rsidRPr="001B1F94" w:rsidRDefault="001B1F94" w:rsidP="001B1F94">
                  <w:pPr>
                    <w:jc w:val="center"/>
                    <w:rPr>
                      <w:rFonts w:ascii="Arial" w:hAnsi="Arial" w:cs="Arial"/>
                      <w:color w:val="000000"/>
                      <w:sz w:val="20"/>
                      <w:szCs w:val="20"/>
                    </w:rPr>
                  </w:pPr>
                  <w:r w:rsidRPr="001B1F94">
                    <w:rPr>
                      <w:rFonts w:ascii="Arial" w:hAnsi="Arial" w:cs="Arial"/>
                      <w:color w:val="000000"/>
                      <w:sz w:val="20"/>
                      <w:szCs w:val="20"/>
                    </w:rPr>
                    <w:t>Mielomeningocele</w:t>
                  </w:r>
                </w:p>
                <w:p w14:paraId="2D85A125" w14:textId="0FBDF04E" w:rsidR="001B1F94" w:rsidRPr="001B1F94" w:rsidRDefault="001B1F94" w:rsidP="001B1F94">
                  <w:pPr>
                    <w:jc w:val="center"/>
                    <w:rPr>
                      <w:rFonts w:ascii="Arial" w:hAnsi="Arial" w:cs="Arial"/>
                      <w:color w:val="000000"/>
                      <w:sz w:val="20"/>
                      <w:szCs w:val="20"/>
                    </w:rPr>
                  </w:pPr>
                  <w:r w:rsidRPr="001B1F94">
                    <w:rPr>
                      <w:rFonts w:ascii="Arial" w:hAnsi="Arial" w:cs="Arial"/>
                      <w:color w:val="000000"/>
                      <w:sz w:val="20"/>
                      <w:szCs w:val="20"/>
                    </w:rPr>
                    <w:t>Sequela de TRM</w:t>
                  </w:r>
                </w:p>
                <w:p w14:paraId="406187E4" w14:textId="04B895FE" w:rsidR="001B1F94" w:rsidRPr="001B1F94" w:rsidRDefault="001B1F94" w:rsidP="001B1F94">
                  <w:pPr>
                    <w:jc w:val="center"/>
                    <w:rPr>
                      <w:rFonts w:ascii="Arial" w:hAnsi="Arial" w:cs="Arial"/>
                      <w:b/>
                      <w:bCs/>
                      <w:color w:val="000000"/>
                      <w:sz w:val="20"/>
                      <w:szCs w:val="20"/>
                    </w:rPr>
                  </w:pPr>
                  <w:r w:rsidRPr="001B1F94">
                    <w:rPr>
                      <w:rFonts w:ascii="Arial" w:hAnsi="Arial" w:cs="Arial"/>
                      <w:color w:val="000000"/>
                      <w:sz w:val="20"/>
                      <w:szCs w:val="20"/>
                    </w:rPr>
                    <w:t>Outras</w:t>
                  </w:r>
                </w:p>
              </w:tc>
              <w:tc>
                <w:tcPr>
                  <w:tcW w:w="3204" w:type="dxa"/>
                  <w:vAlign w:val="bottom"/>
                </w:tcPr>
                <w:p w14:paraId="3BDD82B5" w14:textId="77777777" w:rsidR="001B1F94" w:rsidRPr="00C85539" w:rsidRDefault="00C85539" w:rsidP="001B1F94">
                  <w:pPr>
                    <w:jc w:val="center"/>
                    <w:rPr>
                      <w:rFonts w:ascii="Arial" w:hAnsi="Arial" w:cs="Arial"/>
                      <w:color w:val="000000"/>
                      <w:sz w:val="20"/>
                      <w:szCs w:val="20"/>
                    </w:rPr>
                  </w:pPr>
                  <w:r w:rsidRPr="00C85539">
                    <w:rPr>
                      <w:rFonts w:ascii="Arial" w:hAnsi="Arial" w:cs="Arial"/>
                      <w:color w:val="000000"/>
                      <w:sz w:val="20"/>
                      <w:szCs w:val="20"/>
                    </w:rPr>
                    <w:t>7</w:t>
                  </w:r>
                  <w:r w:rsidR="001B1F94" w:rsidRPr="00C85539">
                    <w:rPr>
                      <w:rFonts w:ascii="Arial" w:hAnsi="Arial" w:cs="Arial"/>
                      <w:color w:val="000000"/>
                      <w:sz w:val="20"/>
                      <w:szCs w:val="20"/>
                    </w:rPr>
                    <w:t xml:space="preserve"> (</w:t>
                  </w:r>
                  <w:r w:rsidRPr="00C85539">
                    <w:rPr>
                      <w:rFonts w:ascii="Arial" w:hAnsi="Arial" w:cs="Arial"/>
                      <w:color w:val="000000"/>
                      <w:sz w:val="20"/>
                      <w:szCs w:val="20"/>
                    </w:rPr>
                    <w:t>20,0%</w:t>
                  </w:r>
                  <w:r w:rsidR="001B1F94" w:rsidRPr="00C85539">
                    <w:rPr>
                      <w:rFonts w:ascii="Arial" w:hAnsi="Arial" w:cs="Arial"/>
                      <w:color w:val="000000"/>
                      <w:sz w:val="20"/>
                      <w:szCs w:val="20"/>
                    </w:rPr>
                    <w:t>)</w:t>
                  </w:r>
                </w:p>
                <w:p w14:paraId="243F0A7D" w14:textId="77777777" w:rsidR="00C85539" w:rsidRPr="00C85539" w:rsidRDefault="00C85539" w:rsidP="001B1F94">
                  <w:pPr>
                    <w:jc w:val="center"/>
                    <w:rPr>
                      <w:rFonts w:ascii="Arial" w:hAnsi="Arial" w:cs="Arial"/>
                      <w:color w:val="000000"/>
                      <w:sz w:val="20"/>
                      <w:szCs w:val="20"/>
                    </w:rPr>
                  </w:pPr>
                  <w:r w:rsidRPr="00C85539">
                    <w:rPr>
                      <w:rFonts w:ascii="Arial" w:hAnsi="Arial" w:cs="Arial"/>
                      <w:color w:val="000000"/>
                      <w:sz w:val="20"/>
                      <w:szCs w:val="20"/>
                    </w:rPr>
                    <w:t>13 (37,1%)</w:t>
                  </w:r>
                </w:p>
                <w:p w14:paraId="0D191386" w14:textId="77777777" w:rsidR="00C85539" w:rsidRPr="00C85539" w:rsidRDefault="00C85539" w:rsidP="001B1F94">
                  <w:pPr>
                    <w:jc w:val="center"/>
                    <w:rPr>
                      <w:rFonts w:ascii="Arial" w:hAnsi="Arial" w:cs="Arial"/>
                      <w:color w:val="000000"/>
                      <w:sz w:val="20"/>
                      <w:szCs w:val="20"/>
                    </w:rPr>
                  </w:pPr>
                  <w:r w:rsidRPr="00C85539">
                    <w:rPr>
                      <w:rFonts w:ascii="Arial" w:hAnsi="Arial" w:cs="Arial"/>
                      <w:color w:val="000000"/>
                      <w:sz w:val="20"/>
                      <w:szCs w:val="20"/>
                    </w:rPr>
                    <w:t>2 (5,7%)</w:t>
                  </w:r>
                </w:p>
                <w:p w14:paraId="78A6FCDB" w14:textId="213CC44F" w:rsidR="00C85539" w:rsidRDefault="00C85539" w:rsidP="001B1F94">
                  <w:pPr>
                    <w:jc w:val="center"/>
                    <w:rPr>
                      <w:rFonts w:ascii="Arial" w:hAnsi="Arial" w:cs="Arial"/>
                      <w:b/>
                      <w:bCs/>
                      <w:color w:val="000000"/>
                      <w:sz w:val="20"/>
                      <w:szCs w:val="20"/>
                    </w:rPr>
                  </w:pPr>
                  <w:r w:rsidRPr="00C85539">
                    <w:rPr>
                      <w:rFonts w:ascii="Arial" w:hAnsi="Arial" w:cs="Arial"/>
                      <w:color w:val="000000"/>
                      <w:sz w:val="20"/>
                      <w:szCs w:val="20"/>
                    </w:rPr>
                    <w:t>3 (8,6%)</w:t>
                  </w:r>
                </w:p>
              </w:tc>
            </w:tr>
            <w:tr w:rsidR="001B1F94" w14:paraId="03C65805" w14:textId="77777777" w:rsidTr="001B1F94">
              <w:trPr>
                <w:trHeight w:val="199"/>
              </w:trPr>
              <w:tc>
                <w:tcPr>
                  <w:tcW w:w="4735" w:type="dxa"/>
                  <w:vAlign w:val="bottom"/>
                </w:tcPr>
                <w:p w14:paraId="19792694" w14:textId="1C145E09" w:rsidR="001B1F94" w:rsidRPr="00C85539" w:rsidRDefault="00C85539" w:rsidP="001B1F94">
                  <w:pPr>
                    <w:jc w:val="center"/>
                    <w:rPr>
                      <w:rFonts w:ascii="Arial" w:hAnsi="Arial" w:cs="Arial"/>
                      <w:color w:val="000000"/>
                      <w:sz w:val="20"/>
                      <w:szCs w:val="20"/>
                    </w:rPr>
                  </w:pPr>
                  <w:r w:rsidRPr="001B1F94">
                    <w:rPr>
                      <w:rFonts w:ascii="Arial" w:hAnsi="Arial" w:cs="Arial"/>
                      <w:color w:val="000000"/>
                      <w:sz w:val="20"/>
                      <w:szCs w:val="20"/>
                    </w:rPr>
                    <w:t>Não-deambuladore</w:t>
                  </w:r>
                  <w:r w:rsidRPr="00C85539">
                    <w:rPr>
                      <w:rFonts w:ascii="Arial" w:hAnsi="Arial" w:cs="Arial"/>
                      <w:color w:val="000000"/>
                      <w:sz w:val="20"/>
                      <w:szCs w:val="20"/>
                    </w:rPr>
                    <w:t>s</w:t>
                  </w:r>
                </w:p>
              </w:tc>
              <w:tc>
                <w:tcPr>
                  <w:tcW w:w="3204" w:type="dxa"/>
                  <w:vAlign w:val="bottom"/>
                </w:tcPr>
                <w:p w14:paraId="57C9C100" w14:textId="3D3EF9C0" w:rsidR="001B1F94" w:rsidRDefault="00C85539" w:rsidP="001B1F94">
                  <w:pPr>
                    <w:jc w:val="center"/>
                    <w:rPr>
                      <w:rFonts w:ascii="Arial" w:hAnsi="Arial" w:cs="Arial"/>
                      <w:b/>
                      <w:bCs/>
                      <w:color w:val="000000"/>
                      <w:sz w:val="20"/>
                      <w:szCs w:val="20"/>
                    </w:rPr>
                  </w:pPr>
                  <w:r>
                    <w:rPr>
                      <w:rFonts w:ascii="Arial" w:hAnsi="Arial" w:cs="Arial"/>
                      <w:color w:val="000000"/>
                      <w:sz w:val="20"/>
                      <w:szCs w:val="20"/>
                    </w:rPr>
                    <w:t>35 (100%)</w:t>
                  </w:r>
                </w:p>
              </w:tc>
            </w:tr>
            <w:tr w:rsidR="001B1F94" w14:paraId="4B62D813" w14:textId="77777777" w:rsidTr="001B1F94">
              <w:trPr>
                <w:trHeight w:val="219"/>
              </w:trPr>
              <w:tc>
                <w:tcPr>
                  <w:tcW w:w="4735" w:type="dxa"/>
                  <w:vAlign w:val="bottom"/>
                </w:tcPr>
                <w:p w14:paraId="6B2B7482" w14:textId="222B5641" w:rsidR="001B1F94" w:rsidRDefault="00C85539" w:rsidP="001B1F94">
                  <w:pPr>
                    <w:jc w:val="center"/>
                    <w:rPr>
                      <w:rFonts w:ascii="Arial" w:hAnsi="Arial" w:cs="Arial"/>
                      <w:b/>
                      <w:bCs/>
                      <w:color w:val="000000"/>
                      <w:sz w:val="20"/>
                      <w:szCs w:val="20"/>
                    </w:rPr>
                  </w:pPr>
                  <w:r>
                    <w:rPr>
                      <w:rFonts w:ascii="Arial" w:hAnsi="Arial" w:cs="Arial"/>
                      <w:color w:val="000000"/>
                      <w:sz w:val="20"/>
                      <w:szCs w:val="20"/>
                    </w:rPr>
                    <w:t>Follow-up</w:t>
                  </w:r>
                </w:p>
              </w:tc>
              <w:tc>
                <w:tcPr>
                  <w:tcW w:w="3204" w:type="dxa"/>
                  <w:vAlign w:val="bottom"/>
                </w:tcPr>
                <w:p w14:paraId="7D217E02" w14:textId="5FBAD065" w:rsidR="001B1F94" w:rsidRDefault="001B1F94" w:rsidP="001B1F94">
                  <w:pPr>
                    <w:jc w:val="center"/>
                    <w:rPr>
                      <w:rFonts w:ascii="Arial" w:hAnsi="Arial" w:cs="Arial"/>
                      <w:b/>
                      <w:bCs/>
                      <w:color w:val="000000"/>
                      <w:sz w:val="20"/>
                      <w:szCs w:val="20"/>
                    </w:rPr>
                  </w:pPr>
                  <w:r>
                    <w:rPr>
                      <w:rFonts w:ascii="Arial" w:hAnsi="Arial" w:cs="Arial"/>
                      <w:color w:val="000000"/>
                      <w:sz w:val="20"/>
                      <w:szCs w:val="20"/>
                    </w:rPr>
                    <w:t>2</w:t>
                  </w:r>
                  <w:r w:rsidR="00C85539">
                    <w:rPr>
                      <w:rFonts w:ascii="Arial" w:hAnsi="Arial" w:cs="Arial"/>
                      <w:color w:val="000000"/>
                      <w:sz w:val="20"/>
                      <w:szCs w:val="20"/>
                    </w:rPr>
                    <w:t>1,4</w:t>
                  </w:r>
                  <w:r>
                    <w:rPr>
                      <w:rFonts w:ascii="Arial" w:hAnsi="Arial" w:cs="Arial"/>
                      <w:color w:val="000000"/>
                      <w:sz w:val="20"/>
                      <w:szCs w:val="20"/>
                    </w:rPr>
                    <w:t xml:space="preserve"> (10,</w:t>
                  </w:r>
                  <w:r w:rsidR="00C85539">
                    <w:rPr>
                      <w:rFonts w:ascii="Arial" w:hAnsi="Arial" w:cs="Arial"/>
                      <w:color w:val="000000"/>
                      <w:sz w:val="20"/>
                      <w:szCs w:val="20"/>
                    </w:rPr>
                    <w:t>3</w:t>
                  </w:r>
                  <w:r>
                    <w:rPr>
                      <w:rFonts w:ascii="Arial" w:hAnsi="Arial" w:cs="Arial"/>
                      <w:color w:val="000000"/>
                      <w:sz w:val="20"/>
                      <w:szCs w:val="20"/>
                    </w:rPr>
                    <w:t>)</w:t>
                  </w:r>
                </w:p>
              </w:tc>
            </w:tr>
          </w:tbl>
          <w:p w14:paraId="52AF2697" w14:textId="77777777" w:rsidR="001B1F94" w:rsidRPr="00B27AC9" w:rsidRDefault="001B1F94" w:rsidP="00856516">
            <w:pPr>
              <w:jc w:val="center"/>
              <w:rPr>
                <w:sz w:val="20"/>
                <w:szCs w:val="20"/>
              </w:rPr>
            </w:pPr>
          </w:p>
        </w:tc>
      </w:tr>
    </w:tbl>
    <w:p w14:paraId="1F705EA5" w14:textId="017C4256" w:rsidR="00714786" w:rsidRPr="00B27AC9" w:rsidRDefault="00B27AC9" w:rsidP="00B27AC9">
      <w:pPr>
        <w:spacing w:after="240"/>
      </w:pPr>
      <w:r w:rsidRPr="00B27AC9">
        <w:rPr>
          <w:color w:val="000000"/>
        </w:rPr>
        <w:br/>
      </w:r>
      <w:r w:rsidR="00714786" w:rsidRPr="00714786">
        <w:rPr>
          <w:rFonts w:ascii="Arial" w:hAnsi="Arial" w:cs="Arial"/>
          <w:b/>
          <w:bCs/>
          <w:color w:val="000000"/>
          <w:sz w:val="20"/>
          <w:szCs w:val="20"/>
        </w:rPr>
        <w:t>Tabela 2 - Dados radiográficos</w:t>
      </w:r>
    </w:p>
    <w:tbl>
      <w:tblPr>
        <w:tblStyle w:val="Tabelacomgrade"/>
        <w:tblW w:w="0" w:type="auto"/>
        <w:tblLook w:val="04A0" w:firstRow="1" w:lastRow="0" w:firstColumn="1" w:lastColumn="0" w:noHBand="0" w:noVBand="1"/>
      </w:tblPr>
      <w:tblGrid>
        <w:gridCol w:w="2025"/>
        <w:gridCol w:w="1481"/>
        <w:gridCol w:w="1811"/>
        <w:gridCol w:w="1694"/>
        <w:gridCol w:w="1477"/>
      </w:tblGrid>
      <w:tr w:rsidR="00714786" w14:paraId="25114700" w14:textId="77636BD9" w:rsidTr="00C80242">
        <w:tc>
          <w:tcPr>
            <w:tcW w:w="2025" w:type="dxa"/>
          </w:tcPr>
          <w:p w14:paraId="50FEEDFA" w14:textId="03A0B4A7" w:rsidR="00714786" w:rsidRPr="00714786" w:rsidRDefault="00714786" w:rsidP="00714786">
            <w:pPr>
              <w:rPr>
                <w:rFonts w:ascii="Arial" w:hAnsi="Arial" w:cs="Arial"/>
                <w:sz w:val="20"/>
                <w:szCs w:val="20"/>
              </w:rPr>
            </w:pPr>
          </w:p>
        </w:tc>
        <w:tc>
          <w:tcPr>
            <w:tcW w:w="1481" w:type="dxa"/>
          </w:tcPr>
          <w:p w14:paraId="16D669E2" w14:textId="5C7F9C77" w:rsidR="00714786" w:rsidRDefault="00714786" w:rsidP="00714786">
            <w:pPr>
              <w:rPr>
                <w:rFonts w:ascii="Arial" w:hAnsi="Arial" w:cs="Arial"/>
                <w:sz w:val="20"/>
                <w:szCs w:val="20"/>
              </w:rPr>
            </w:pPr>
          </w:p>
          <w:p w14:paraId="5EFC7C8A" w14:textId="53B77994" w:rsidR="00714786" w:rsidRPr="00714786" w:rsidRDefault="00714786" w:rsidP="00714786">
            <w:pPr>
              <w:rPr>
                <w:rFonts w:ascii="Arial" w:hAnsi="Arial" w:cs="Arial"/>
                <w:b/>
                <w:bCs/>
                <w:sz w:val="20"/>
                <w:szCs w:val="20"/>
              </w:rPr>
            </w:pPr>
            <w:r w:rsidRPr="00714786">
              <w:rPr>
                <w:rFonts w:ascii="Arial" w:hAnsi="Arial" w:cs="Arial"/>
                <w:b/>
                <w:bCs/>
                <w:sz w:val="20"/>
                <w:szCs w:val="20"/>
              </w:rPr>
              <w:t>Inicial</w:t>
            </w:r>
          </w:p>
        </w:tc>
        <w:tc>
          <w:tcPr>
            <w:tcW w:w="1811" w:type="dxa"/>
          </w:tcPr>
          <w:p w14:paraId="11BE0CE1" w14:textId="77777777" w:rsidR="00714786" w:rsidRDefault="00714786" w:rsidP="00714786">
            <w:pPr>
              <w:rPr>
                <w:rFonts w:ascii="Arial" w:hAnsi="Arial" w:cs="Arial"/>
                <w:b/>
                <w:bCs/>
                <w:sz w:val="20"/>
                <w:szCs w:val="20"/>
              </w:rPr>
            </w:pPr>
          </w:p>
          <w:p w14:paraId="1742A97B" w14:textId="1203C258" w:rsidR="00714786" w:rsidRPr="00714786" w:rsidRDefault="00714786" w:rsidP="00714786">
            <w:pPr>
              <w:rPr>
                <w:rFonts w:ascii="Arial" w:hAnsi="Arial" w:cs="Arial"/>
                <w:b/>
                <w:bCs/>
                <w:sz w:val="20"/>
                <w:szCs w:val="20"/>
              </w:rPr>
            </w:pPr>
            <w:r w:rsidRPr="00714786">
              <w:rPr>
                <w:rFonts w:ascii="Arial" w:hAnsi="Arial" w:cs="Arial"/>
                <w:b/>
                <w:bCs/>
                <w:sz w:val="20"/>
                <w:szCs w:val="20"/>
              </w:rPr>
              <w:t>Pós-</w:t>
            </w:r>
            <w:proofErr w:type="spellStart"/>
            <w:r w:rsidRPr="00714786">
              <w:rPr>
                <w:rFonts w:ascii="Arial" w:hAnsi="Arial" w:cs="Arial"/>
                <w:b/>
                <w:bCs/>
                <w:sz w:val="20"/>
                <w:szCs w:val="20"/>
              </w:rPr>
              <w:t>op</w:t>
            </w:r>
            <w:proofErr w:type="spellEnd"/>
            <w:r w:rsidRPr="00714786">
              <w:rPr>
                <w:rFonts w:ascii="Arial" w:hAnsi="Arial" w:cs="Arial"/>
                <w:b/>
                <w:bCs/>
                <w:sz w:val="20"/>
                <w:szCs w:val="20"/>
              </w:rPr>
              <w:t xml:space="preserve"> </w:t>
            </w:r>
            <w:r>
              <w:rPr>
                <w:rFonts w:ascii="Arial" w:hAnsi="Arial" w:cs="Arial"/>
                <w:b/>
                <w:bCs/>
                <w:sz w:val="20"/>
                <w:szCs w:val="20"/>
              </w:rPr>
              <w:t>I</w:t>
            </w:r>
            <w:r w:rsidRPr="00714786">
              <w:rPr>
                <w:rFonts w:ascii="Arial" w:hAnsi="Arial" w:cs="Arial"/>
                <w:b/>
                <w:bCs/>
                <w:sz w:val="20"/>
                <w:szCs w:val="20"/>
              </w:rPr>
              <w:t>mediato</w:t>
            </w:r>
          </w:p>
        </w:tc>
        <w:tc>
          <w:tcPr>
            <w:tcW w:w="1694" w:type="dxa"/>
          </w:tcPr>
          <w:p w14:paraId="702942F3" w14:textId="77777777" w:rsidR="00714786" w:rsidRDefault="00714786" w:rsidP="00714786">
            <w:pPr>
              <w:rPr>
                <w:rFonts w:ascii="Arial" w:hAnsi="Arial" w:cs="Arial"/>
                <w:b/>
                <w:bCs/>
                <w:color w:val="000000"/>
                <w:sz w:val="20"/>
                <w:szCs w:val="20"/>
              </w:rPr>
            </w:pPr>
          </w:p>
          <w:p w14:paraId="736C8402" w14:textId="5D8C731F" w:rsidR="00714786" w:rsidRPr="00714786" w:rsidRDefault="00714786" w:rsidP="00714786">
            <w:pPr>
              <w:rPr>
                <w:rFonts w:ascii="Arial" w:hAnsi="Arial" w:cs="Arial"/>
                <w:sz w:val="20"/>
                <w:szCs w:val="20"/>
              </w:rPr>
            </w:pPr>
            <w:r w:rsidRPr="00714786">
              <w:rPr>
                <w:rFonts w:ascii="Arial" w:hAnsi="Arial" w:cs="Arial"/>
                <w:b/>
                <w:bCs/>
                <w:color w:val="000000"/>
                <w:sz w:val="20"/>
                <w:szCs w:val="20"/>
              </w:rPr>
              <w:t>Final follow-up</w:t>
            </w:r>
          </w:p>
        </w:tc>
        <w:tc>
          <w:tcPr>
            <w:tcW w:w="1477" w:type="dxa"/>
            <w:vAlign w:val="bottom"/>
          </w:tcPr>
          <w:p w14:paraId="3C2D4E88" w14:textId="6C88F784" w:rsidR="00714786" w:rsidRPr="00714786" w:rsidRDefault="00714786" w:rsidP="00714786">
            <w:pPr>
              <w:rPr>
                <w:rFonts w:ascii="Arial" w:hAnsi="Arial" w:cs="Arial"/>
                <w:b/>
                <w:bCs/>
                <w:color w:val="000000"/>
                <w:sz w:val="20"/>
                <w:szCs w:val="20"/>
              </w:rPr>
            </w:pPr>
            <w:r>
              <w:rPr>
                <w:rFonts w:ascii="Arial" w:hAnsi="Arial" w:cs="Arial"/>
                <w:b/>
                <w:bCs/>
                <w:color w:val="000000"/>
                <w:sz w:val="20"/>
                <w:szCs w:val="20"/>
              </w:rPr>
              <w:t>% Correção</w:t>
            </w:r>
          </w:p>
        </w:tc>
      </w:tr>
      <w:tr w:rsidR="00714786" w14:paraId="522304C3" w14:textId="312A840F" w:rsidTr="00C80242">
        <w:tc>
          <w:tcPr>
            <w:tcW w:w="2025" w:type="dxa"/>
          </w:tcPr>
          <w:p w14:paraId="22DD91A9" w14:textId="14D80806" w:rsidR="00714786" w:rsidRPr="00714786" w:rsidRDefault="00714786" w:rsidP="00714786">
            <w:pPr>
              <w:rPr>
                <w:rFonts w:ascii="Arial" w:hAnsi="Arial" w:cs="Arial"/>
                <w:sz w:val="20"/>
                <w:szCs w:val="20"/>
              </w:rPr>
            </w:pPr>
            <w:r w:rsidRPr="00714786">
              <w:rPr>
                <w:rFonts w:ascii="Arial" w:hAnsi="Arial" w:cs="Arial"/>
                <w:color w:val="000000"/>
                <w:sz w:val="20"/>
                <w:szCs w:val="20"/>
              </w:rPr>
              <w:t xml:space="preserve">Cifose torácica </w:t>
            </w:r>
          </w:p>
        </w:tc>
        <w:tc>
          <w:tcPr>
            <w:tcW w:w="1481" w:type="dxa"/>
          </w:tcPr>
          <w:p w14:paraId="2929BEE3" w14:textId="72AD1836" w:rsidR="00714786" w:rsidRPr="00714786" w:rsidRDefault="00714786" w:rsidP="00714786">
            <w:pPr>
              <w:rPr>
                <w:rFonts w:ascii="Arial" w:hAnsi="Arial" w:cs="Arial"/>
                <w:sz w:val="20"/>
                <w:szCs w:val="20"/>
              </w:rPr>
            </w:pPr>
            <w:r w:rsidRPr="00714786">
              <w:rPr>
                <w:rFonts w:ascii="Arial" w:hAnsi="Arial" w:cs="Arial"/>
                <w:color w:val="000000"/>
                <w:sz w:val="20"/>
                <w:szCs w:val="20"/>
              </w:rPr>
              <w:t>37,3 (39,8)</w:t>
            </w:r>
          </w:p>
        </w:tc>
        <w:tc>
          <w:tcPr>
            <w:tcW w:w="1811" w:type="dxa"/>
          </w:tcPr>
          <w:p w14:paraId="418CD0AC" w14:textId="29E739F2" w:rsidR="00714786" w:rsidRPr="00714786" w:rsidRDefault="00714786" w:rsidP="00714786">
            <w:pPr>
              <w:rPr>
                <w:rFonts w:ascii="Arial" w:hAnsi="Arial" w:cs="Arial"/>
                <w:sz w:val="20"/>
                <w:szCs w:val="20"/>
              </w:rPr>
            </w:pPr>
          </w:p>
        </w:tc>
        <w:tc>
          <w:tcPr>
            <w:tcW w:w="1694" w:type="dxa"/>
          </w:tcPr>
          <w:p w14:paraId="522E37E4" w14:textId="77777777" w:rsidR="00714786" w:rsidRPr="00714786" w:rsidRDefault="00714786" w:rsidP="00714786">
            <w:pPr>
              <w:rPr>
                <w:rFonts w:ascii="Arial" w:hAnsi="Arial" w:cs="Arial"/>
                <w:sz w:val="20"/>
                <w:szCs w:val="20"/>
              </w:rPr>
            </w:pPr>
          </w:p>
        </w:tc>
        <w:tc>
          <w:tcPr>
            <w:tcW w:w="1477" w:type="dxa"/>
            <w:vAlign w:val="bottom"/>
          </w:tcPr>
          <w:p w14:paraId="47190652" w14:textId="51BA2282" w:rsidR="00714786" w:rsidRPr="00714786" w:rsidRDefault="00714786" w:rsidP="00714786">
            <w:pPr>
              <w:rPr>
                <w:rFonts w:ascii="Arial" w:hAnsi="Arial" w:cs="Arial"/>
                <w:sz w:val="20"/>
                <w:szCs w:val="20"/>
              </w:rPr>
            </w:pPr>
          </w:p>
        </w:tc>
      </w:tr>
      <w:tr w:rsidR="00714786" w14:paraId="07E7FFF4" w14:textId="26144D95" w:rsidTr="00C80242">
        <w:tc>
          <w:tcPr>
            <w:tcW w:w="2025" w:type="dxa"/>
          </w:tcPr>
          <w:p w14:paraId="247A8C00" w14:textId="34B14349" w:rsidR="00714786" w:rsidRPr="00714786" w:rsidRDefault="00714786" w:rsidP="00714786">
            <w:pPr>
              <w:rPr>
                <w:rFonts w:ascii="Arial" w:hAnsi="Arial" w:cs="Arial"/>
                <w:sz w:val="20"/>
                <w:szCs w:val="20"/>
              </w:rPr>
            </w:pPr>
            <w:proofErr w:type="spellStart"/>
            <w:r w:rsidRPr="00714786">
              <w:rPr>
                <w:rFonts w:ascii="Arial" w:hAnsi="Arial" w:cs="Arial"/>
                <w:color w:val="000000"/>
                <w:sz w:val="20"/>
                <w:szCs w:val="20"/>
              </w:rPr>
              <w:t>Cobb</w:t>
            </w:r>
            <w:proofErr w:type="spellEnd"/>
          </w:p>
        </w:tc>
        <w:tc>
          <w:tcPr>
            <w:tcW w:w="1481" w:type="dxa"/>
          </w:tcPr>
          <w:p w14:paraId="0C59A9B4" w14:textId="424A2E62" w:rsidR="00714786" w:rsidRPr="00714786" w:rsidRDefault="00714786" w:rsidP="00714786">
            <w:pPr>
              <w:rPr>
                <w:rFonts w:ascii="Arial" w:hAnsi="Arial" w:cs="Arial"/>
                <w:sz w:val="20"/>
                <w:szCs w:val="20"/>
              </w:rPr>
            </w:pPr>
            <w:r w:rsidRPr="00714786">
              <w:rPr>
                <w:rFonts w:ascii="Arial" w:hAnsi="Arial" w:cs="Arial"/>
                <w:color w:val="000000"/>
                <w:sz w:val="20"/>
                <w:szCs w:val="20"/>
              </w:rPr>
              <w:t>100,0 (26,2)</w:t>
            </w:r>
          </w:p>
        </w:tc>
        <w:tc>
          <w:tcPr>
            <w:tcW w:w="1811" w:type="dxa"/>
          </w:tcPr>
          <w:p w14:paraId="66D01FBA" w14:textId="6DD88845" w:rsidR="00714786" w:rsidRPr="00714786" w:rsidRDefault="00714786" w:rsidP="00714786">
            <w:pPr>
              <w:rPr>
                <w:rFonts w:ascii="Arial" w:hAnsi="Arial" w:cs="Arial"/>
                <w:sz w:val="20"/>
                <w:szCs w:val="20"/>
              </w:rPr>
            </w:pPr>
            <w:r w:rsidRPr="00714786">
              <w:rPr>
                <w:rFonts w:ascii="Arial" w:hAnsi="Arial" w:cs="Arial"/>
                <w:color w:val="000000"/>
                <w:sz w:val="20"/>
                <w:szCs w:val="20"/>
              </w:rPr>
              <w:t>44,8 (19,5</w:t>
            </w:r>
            <w:r w:rsidR="000D0F13">
              <w:rPr>
                <w:rFonts w:ascii="Arial" w:hAnsi="Arial" w:cs="Arial"/>
                <w:color w:val="000000"/>
                <w:sz w:val="20"/>
                <w:szCs w:val="20"/>
              </w:rPr>
              <w:t>)</w:t>
            </w:r>
          </w:p>
        </w:tc>
        <w:tc>
          <w:tcPr>
            <w:tcW w:w="1694" w:type="dxa"/>
            <w:vAlign w:val="bottom"/>
          </w:tcPr>
          <w:p w14:paraId="595E0B65" w14:textId="2FC797B6" w:rsidR="00714786" w:rsidRPr="00714786" w:rsidRDefault="00714786" w:rsidP="00714786">
            <w:pPr>
              <w:rPr>
                <w:rFonts w:ascii="Arial" w:hAnsi="Arial" w:cs="Arial"/>
                <w:sz w:val="20"/>
                <w:szCs w:val="20"/>
              </w:rPr>
            </w:pPr>
            <w:r w:rsidRPr="00714786">
              <w:rPr>
                <w:rFonts w:ascii="Arial" w:hAnsi="Arial" w:cs="Arial"/>
                <w:color w:val="000000"/>
                <w:sz w:val="20"/>
                <w:szCs w:val="20"/>
              </w:rPr>
              <w:t>45,0 (19,6)</w:t>
            </w:r>
          </w:p>
        </w:tc>
        <w:tc>
          <w:tcPr>
            <w:tcW w:w="1477" w:type="dxa"/>
            <w:vAlign w:val="bottom"/>
          </w:tcPr>
          <w:p w14:paraId="73F12624" w14:textId="657C28A3" w:rsidR="00714786" w:rsidRPr="00714786" w:rsidRDefault="00714786" w:rsidP="00714786">
            <w:pPr>
              <w:rPr>
                <w:rFonts w:ascii="Arial" w:hAnsi="Arial" w:cs="Arial"/>
                <w:color w:val="000000"/>
                <w:sz w:val="20"/>
                <w:szCs w:val="20"/>
              </w:rPr>
            </w:pPr>
            <w:r w:rsidRPr="00714786">
              <w:rPr>
                <w:rFonts w:ascii="Arial" w:hAnsi="Arial" w:cs="Arial"/>
                <w:color w:val="000000"/>
                <w:sz w:val="20"/>
                <w:szCs w:val="20"/>
              </w:rPr>
              <w:t>55,0 (16,3)</w:t>
            </w:r>
          </w:p>
        </w:tc>
      </w:tr>
      <w:tr w:rsidR="00714786" w14:paraId="39D91D64" w14:textId="05512B31" w:rsidTr="00AA3299">
        <w:tc>
          <w:tcPr>
            <w:tcW w:w="2025" w:type="dxa"/>
          </w:tcPr>
          <w:p w14:paraId="6A52FA72" w14:textId="0F6F0976" w:rsidR="00714786" w:rsidRPr="00714786" w:rsidRDefault="00714786" w:rsidP="00714786">
            <w:pPr>
              <w:rPr>
                <w:rFonts w:ascii="Arial" w:hAnsi="Arial" w:cs="Arial"/>
                <w:sz w:val="20"/>
                <w:szCs w:val="20"/>
              </w:rPr>
            </w:pPr>
            <w:r w:rsidRPr="00714786">
              <w:rPr>
                <w:rFonts w:ascii="Arial" w:hAnsi="Arial" w:cs="Arial"/>
                <w:sz w:val="20"/>
                <w:szCs w:val="20"/>
              </w:rPr>
              <w:t xml:space="preserve">Obliquidade pélvica </w:t>
            </w:r>
          </w:p>
        </w:tc>
        <w:tc>
          <w:tcPr>
            <w:tcW w:w="1481" w:type="dxa"/>
          </w:tcPr>
          <w:p w14:paraId="0C5EDA35" w14:textId="608AAED4" w:rsidR="00714786" w:rsidRPr="00714786" w:rsidRDefault="00714786" w:rsidP="00714786">
            <w:pPr>
              <w:rPr>
                <w:rFonts w:ascii="Arial" w:hAnsi="Arial" w:cs="Arial"/>
                <w:sz w:val="20"/>
                <w:szCs w:val="20"/>
              </w:rPr>
            </w:pPr>
            <w:r w:rsidRPr="00714786">
              <w:rPr>
                <w:rFonts w:ascii="Arial" w:hAnsi="Arial" w:cs="Arial"/>
                <w:color w:val="000000"/>
                <w:sz w:val="20"/>
                <w:szCs w:val="20"/>
              </w:rPr>
              <w:t>27,9 (10,9)</w:t>
            </w:r>
          </w:p>
        </w:tc>
        <w:tc>
          <w:tcPr>
            <w:tcW w:w="1811" w:type="dxa"/>
          </w:tcPr>
          <w:p w14:paraId="2DE5E139" w14:textId="3BAF4B13" w:rsidR="00714786" w:rsidRPr="00714786" w:rsidRDefault="00714786" w:rsidP="00714786">
            <w:pPr>
              <w:rPr>
                <w:rFonts w:ascii="Arial" w:hAnsi="Arial" w:cs="Arial"/>
                <w:sz w:val="20"/>
                <w:szCs w:val="20"/>
              </w:rPr>
            </w:pPr>
            <w:r w:rsidRPr="00714786">
              <w:rPr>
                <w:rFonts w:ascii="Arial" w:hAnsi="Arial" w:cs="Arial"/>
                <w:color w:val="000000"/>
                <w:sz w:val="20"/>
                <w:szCs w:val="20"/>
              </w:rPr>
              <w:t>8,2 (5,4)</w:t>
            </w:r>
          </w:p>
        </w:tc>
        <w:tc>
          <w:tcPr>
            <w:tcW w:w="1694" w:type="dxa"/>
            <w:vAlign w:val="bottom"/>
          </w:tcPr>
          <w:p w14:paraId="66FE037F" w14:textId="1713FB7C" w:rsidR="00714786" w:rsidRPr="00714786" w:rsidRDefault="00714786" w:rsidP="00714786">
            <w:pPr>
              <w:rPr>
                <w:rFonts w:ascii="Arial" w:hAnsi="Arial" w:cs="Arial"/>
                <w:sz w:val="20"/>
                <w:szCs w:val="20"/>
              </w:rPr>
            </w:pPr>
            <w:r w:rsidRPr="00714786">
              <w:rPr>
                <w:rFonts w:ascii="Arial" w:hAnsi="Arial" w:cs="Arial"/>
                <w:color w:val="000000"/>
                <w:sz w:val="20"/>
                <w:szCs w:val="20"/>
              </w:rPr>
              <w:t>9,4 (7,0)</w:t>
            </w:r>
          </w:p>
        </w:tc>
        <w:tc>
          <w:tcPr>
            <w:tcW w:w="1477" w:type="dxa"/>
            <w:vAlign w:val="bottom"/>
          </w:tcPr>
          <w:p w14:paraId="15F2B0E0" w14:textId="672FF4F7" w:rsidR="00714786" w:rsidRPr="00714786" w:rsidRDefault="00714786" w:rsidP="00714786">
            <w:pPr>
              <w:rPr>
                <w:rFonts w:ascii="Arial" w:hAnsi="Arial" w:cs="Arial"/>
                <w:color w:val="000000"/>
                <w:sz w:val="20"/>
                <w:szCs w:val="20"/>
              </w:rPr>
            </w:pPr>
            <w:r w:rsidRPr="00714786">
              <w:rPr>
                <w:rFonts w:ascii="Arial" w:hAnsi="Arial" w:cs="Arial"/>
                <w:color w:val="000000"/>
                <w:sz w:val="20"/>
                <w:szCs w:val="20"/>
              </w:rPr>
              <w:t>66,1 (27,6)</w:t>
            </w:r>
          </w:p>
        </w:tc>
      </w:tr>
    </w:tbl>
    <w:p w14:paraId="714F0E0B" w14:textId="1463D1C9" w:rsidR="00B27AC9" w:rsidRDefault="000D0F13">
      <w:pPr>
        <w:rPr>
          <w:rFonts w:ascii="Arial" w:hAnsi="Arial" w:cs="Arial"/>
          <w:sz w:val="20"/>
          <w:szCs w:val="20"/>
        </w:rPr>
      </w:pPr>
      <w:r w:rsidRPr="000D0F13">
        <w:rPr>
          <w:rFonts w:ascii="Arial" w:hAnsi="Arial" w:cs="Arial"/>
          <w:sz w:val="20"/>
          <w:szCs w:val="20"/>
        </w:rPr>
        <w:t>Média (Desvio padrão)</w:t>
      </w:r>
    </w:p>
    <w:p w14:paraId="5473D11B" w14:textId="77777777" w:rsidR="000D0F13" w:rsidRPr="000D0F13" w:rsidRDefault="000D0F13">
      <w:pPr>
        <w:rPr>
          <w:rFonts w:ascii="Arial" w:hAnsi="Arial" w:cs="Arial"/>
          <w:sz w:val="20"/>
          <w:szCs w:val="20"/>
        </w:rPr>
      </w:pPr>
    </w:p>
    <w:p w14:paraId="2223D77E" w14:textId="2228C9D2" w:rsidR="00B27AC9" w:rsidRDefault="000D0F13">
      <w:r w:rsidRPr="00930324">
        <w:rPr>
          <w:rFonts w:ascii="Arial" w:hAnsi="Arial" w:cs="Arial"/>
          <w:b/>
          <w:bCs/>
          <w:color w:val="000000"/>
          <w:sz w:val="20"/>
          <w:szCs w:val="20"/>
        </w:rPr>
        <w:t xml:space="preserve">Tabela 3 - </w:t>
      </w:r>
      <w:r>
        <w:rPr>
          <w:rFonts w:ascii="Arial" w:hAnsi="Arial" w:cs="Arial"/>
          <w:b/>
          <w:bCs/>
          <w:color w:val="000000"/>
          <w:sz w:val="20"/>
          <w:szCs w:val="20"/>
        </w:rPr>
        <w:t>V</w:t>
      </w:r>
      <w:r w:rsidRPr="00930324">
        <w:rPr>
          <w:rFonts w:ascii="Arial" w:hAnsi="Arial" w:cs="Arial"/>
          <w:b/>
          <w:bCs/>
          <w:color w:val="000000"/>
          <w:sz w:val="20"/>
          <w:szCs w:val="20"/>
        </w:rPr>
        <w:t>ariáveis</w:t>
      </w:r>
      <w:r>
        <w:rPr>
          <w:rFonts w:ascii="Arial" w:hAnsi="Arial" w:cs="Arial"/>
          <w:b/>
          <w:bCs/>
          <w:color w:val="000000"/>
          <w:sz w:val="20"/>
          <w:szCs w:val="20"/>
        </w:rPr>
        <w:t xml:space="preserve"> C</w:t>
      </w:r>
      <w:r w:rsidRPr="00930324">
        <w:rPr>
          <w:rFonts w:ascii="Arial" w:hAnsi="Arial" w:cs="Arial"/>
          <w:b/>
          <w:bCs/>
          <w:color w:val="000000"/>
          <w:sz w:val="20"/>
          <w:szCs w:val="20"/>
        </w:rPr>
        <w:t xml:space="preserve">irúrgicas e </w:t>
      </w:r>
      <w:r>
        <w:rPr>
          <w:rFonts w:ascii="Arial" w:hAnsi="Arial" w:cs="Arial"/>
          <w:b/>
          <w:bCs/>
          <w:color w:val="000000"/>
          <w:sz w:val="20"/>
          <w:szCs w:val="20"/>
        </w:rPr>
        <w:t>C</w:t>
      </w:r>
      <w:r w:rsidRPr="00930324">
        <w:rPr>
          <w:rFonts w:ascii="Arial" w:hAnsi="Arial" w:cs="Arial"/>
          <w:b/>
          <w:bCs/>
          <w:color w:val="000000"/>
          <w:sz w:val="20"/>
          <w:szCs w:val="20"/>
        </w:rPr>
        <w:t>omplicações</w:t>
      </w:r>
    </w:p>
    <w:tbl>
      <w:tblPr>
        <w:tblStyle w:val="Tabelacomgrade"/>
        <w:tblpPr w:leftFromText="141" w:rightFromText="141" w:vertAnchor="text" w:horzAnchor="margin" w:tblpY="133"/>
        <w:tblW w:w="0" w:type="auto"/>
        <w:tblLook w:val="04A0" w:firstRow="1" w:lastRow="0" w:firstColumn="1" w:lastColumn="0" w:noHBand="0" w:noVBand="1"/>
      </w:tblPr>
      <w:tblGrid>
        <w:gridCol w:w="4244"/>
        <w:gridCol w:w="4244"/>
      </w:tblGrid>
      <w:tr w:rsidR="00930324" w14:paraId="54AD69CC" w14:textId="77777777" w:rsidTr="00930324">
        <w:tc>
          <w:tcPr>
            <w:tcW w:w="4244" w:type="dxa"/>
            <w:vAlign w:val="bottom"/>
          </w:tcPr>
          <w:p w14:paraId="4D844E38" w14:textId="77777777" w:rsidR="00930324" w:rsidRDefault="00930324" w:rsidP="00B3193D">
            <w:r w:rsidRPr="00930324">
              <w:rPr>
                <w:rFonts w:ascii="Arial" w:hAnsi="Arial" w:cs="Arial"/>
                <w:color w:val="000000"/>
                <w:sz w:val="20"/>
                <w:szCs w:val="20"/>
              </w:rPr>
              <w:t>Média de níveis operados</w:t>
            </w:r>
          </w:p>
        </w:tc>
        <w:tc>
          <w:tcPr>
            <w:tcW w:w="4244" w:type="dxa"/>
            <w:vAlign w:val="bottom"/>
          </w:tcPr>
          <w:p w14:paraId="67B98EF0" w14:textId="77777777" w:rsidR="00930324" w:rsidRDefault="00930324" w:rsidP="00B3193D">
            <w:pPr>
              <w:jc w:val="center"/>
            </w:pPr>
            <w:r w:rsidRPr="00930324">
              <w:rPr>
                <w:rFonts w:ascii="Arial" w:hAnsi="Arial" w:cs="Arial"/>
                <w:color w:val="000000"/>
                <w:sz w:val="20"/>
                <w:szCs w:val="20"/>
              </w:rPr>
              <w:t>17,3 (0,7)</w:t>
            </w:r>
          </w:p>
        </w:tc>
      </w:tr>
      <w:tr w:rsidR="00930324" w14:paraId="2EDA4E3E" w14:textId="77777777" w:rsidTr="00930324">
        <w:tc>
          <w:tcPr>
            <w:tcW w:w="4244" w:type="dxa"/>
            <w:vAlign w:val="bottom"/>
          </w:tcPr>
          <w:p w14:paraId="1BC0A46F" w14:textId="4B690748" w:rsidR="00930324" w:rsidRDefault="00930324" w:rsidP="00B3193D">
            <w:r w:rsidRPr="00930324">
              <w:rPr>
                <w:rFonts w:ascii="Arial" w:hAnsi="Arial" w:cs="Arial"/>
                <w:color w:val="000000"/>
                <w:sz w:val="20"/>
                <w:szCs w:val="20"/>
              </w:rPr>
              <w:t>Densidade média de parafusos por nível total</w:t>
            </w:r>
          </w:p>
        </w:tc>
        <w:tc>
          <w:tcPr>
            <w:tcW w:w="4244" w:type="dxa"/>
            <w:vAlign w:val="bottom"/>
          </w:tcPr>
          <w:p w14:paraId="4870EA53" w14:textId="77777777" w:rsidR="00930324" w:rsidRDefault="00930324" w:rsidP="00B3193D">
            <w:pPr>
              <w:jc w:val="center"/>
            </w:pPr>
            <w:r w:rsidRPr="00930324">
              <w:rPr>
                <w:rFonts w:ascii="Arial" w:hAnsi="Arial" w:cs="Arial"/>
                <w:color w:val="000000"/>
                <w:sz w:val="20"/>
                <w:szCs w:val="20"/>
              </w:rPr>
              <w:t>1,3 (0,2)</w:t>
            </w:r>
          </w:p>
        </w:tc>
      </w:tr>
      <w:tr w:rsidR="00930324" w14:paraId="391A8DA5" w14:textId="77777777" w:rsidTr="00930324">
        <w:tc>
          <w:tcPr>
            <w:tcW w:w="4244" w:type="dxa"/>
            <w:vAlign w:val="bottom"/>
          </w:tcPr>
          <w:p w14:paraId="07F85D12" w14:textId="77777777" w:rsidR="00930324" w:rsidRDefault="00930324" w:rsidP="00B3193D">
            <w:r w:rsidRPr="00930324">
              <w:rPr>
                <w:rFonts w:ascii="Arial" w:hAnsi="Arial" w:cs="Arial"/>
                <w:color w:val="000000"/>
                <w:sz w:val="20"/>
                <w:szCs w:val="20"/>
              </w:rPr>
              <w:t>Densidade média de parafusos por nível lombar</w:t>
            </w:r>
          </w:p>
        </w:tc>
        <w:tc>
          <w:tcPr>
            <w:tcW w:w="4244" w:type="dxa"/>
            <w:vAlign w:val="bottom"/>
          </w:tcPr>
          <w:p w14:paraId="5E172606" w14:textId="77777777" w:rsidR="00930324" w:rsidRDefault="00930324" w:rsidP="00B3193D">
            <w:pPr>
              <w:jc w:val="center"/>
            </w:pPr>
            <w:r w:rsidRPr="00930324">
              <w:rPr>
                <w:rFonts w:ascii="Arial" w:hAnsi="Arial" w:cs="Arial"/>
                <w:color w:val="000000"/>
                <w:sz w:val="20"/>
                <w:szCs w:val="20"/>
              </w:rPr>
              <w:t>1,5 (0,2)</w:t>
            </w:r>
          </w:p>
        </w:tc>
      </w:tr>
      <w:tr w:rsidR="00930324" w14:paraId="6C4758AE" w14:textId="77777777" w:rsidTr="00930324">
        <w:tc>
          <w:tcPr>
            <w:tcW w:w="4244" w:type="dxa"/>
            <w:vAlign w:val="bottom"/>
          </w:tcPr>
          <w:p w14:paraId="4AB8C822" w14:textId="45AD00DC" w:rsidR="00930324" w:rsidRDefault="00930324" w:rsidP="00B3193D">
            <w:r w:rsidRPr="00930324">
              <w:rPr>
                <w:rFonts w:ascii="Arial" w:hAnsi="Arial" w:cs="Arial"/>
                <w:color w:val="000000"/>
                <w:sz w:val="20"/>
                <w:szCs w:val="20"/>
              </w:rPr>
              <w:t xml:space="preserve">Tempo </w:t>
            </w:r>
            <w:r w:rsidR="000D0F13" w:rsidRPr="00930324">
              <w:rPr>
                <w:rFonts w:ascii="Arial" w:hAnsi="Arial" w:cs="Arial"/>
                <w:color w:val="000000"/>
                <w:sz w:val="20"/>
                <w:szCs w:val="20"/>
              </w:rPr>
              <w:t>cirúrgico</w:t>
            </w:r>
          </w:p>
        </w:tc>
        <w:tc>
          <w:tcPr>
            <w:tcW w:w="4244" w:type="dxa"/>
            <w:vAlign w:val="bottom"/>
          </w:tcPr>
          <w:p w14:paraId="2DE2AE59" w14:textId="6DC70443" w:rsidR="00930324" w:rsidRDefault="00930324" w:rsidP="00B3193D">
            <w:pPr>
              <w:jc w:val="center"/>
            </w:pPr>
            <w:r w:rsidRPr="00930324">
              <w:rPr>
                <w:rFonts w:ascii="Arial" w:hAnsi="Arial" w:cs="Arial"/>
                <w:color w:val="000000"/>
                <w:sz w:val="20"/>
                <w:szCs w:val="20"/>
              </w:rPr>
              <w:t>06:56 (01:26)</w:t>
            </w:r>
            <w:r w:rsidR="00B3193D">
              <w:rPr>
                <w:rFonts w:ascii="Arial" w:hAnsi="Arial" w:cs="Arial"/>
                <w:color w:val="000000"/>
                <w:sz w:val="20"/>
                <w:szCs w:val="20"/>
              </w:rPr>
              <w:t xml:space="preserve"> *</w:t>
            </w:r>
          </w:p>
        </w:tc>
      </w:tr>
      <w:tr w:rsidR="00930324" w14:paraId="3005F5B4" w14:textId="77777777" w:rsidTr="00930324">
        <w:tc>
          <w:tcPr>
            <w:tcW w:w="4244" w:type="dxa"/>
            <w:vAlign w:val="bottom"/>
          </w:tcPr>
          <w:p w14:paraId="08220EF0" w14:textId="77777777" w:rsidR="00930324" w:rsidRDefault="00930324" w:rsidP="00B3193D">
            <w:r w:rsidRPr="00930324">
              <w:rPr>
                <w:rFonts w:ascii="Arial" w:hAnsi="Arial" w:cs="Arial"/>
                <w:color w:val="000000"/>
                <w:sz w:val="20"/>
                <w:szCs w:val="20"/>
              </w:rPr>
              <w:t>Perda sanguínea</w:t>
            </w:r>
          </w:p>
        </w:tc>
        <w:tc>
          <w:tcPr>
            <w:tcW w:w="4244" w:type="dxa"/>
            <w:vAlign w:val="bottom"/>
          </w:tcPr>
          <w:p w14:paraId="1DA3CD41" w14:textId="4FCC5ADF" w:rsidR="00930324" w:rsidRDefault="00930324" w:rsidP="00B3193D">
            <w:pPr>
              <w:jc w:val="center"/>
            </w:pPr>
            <w:r w:rsidRPr="00930324">
              <w:rPr>
                <w:rFonts w:ascii="Arial" w:hAnsi="Arial" w:cs="Arial"/>
                <w:color w:val="000000"/>
                <w:sz w:val="20"/>
                <w:szCs w:val="20"/>
              </w:rPr>
              <w:t>921 (394,1)</w:t>
            </w:r>
            <w:r w:rsidR="00B3193D">
              <w:rPr>
                <w:rFonts w:ascii="Arial" w:hAnsi="Arial" w:cs="Arial"/>
                <w:color w:val="000000"/>
                <w:sz w:val="20"/>
                <w:szCs w:val="20"/>
              </w:rPr>
              <w:t xml:space="preserve"> **</w:t>
            </w:r>
          </w:p>
        </w:tc>
      </w:tr>
      <w:tr w:rsidR="00930324" w14:paraId="6956557A" w14:textId="77777777" w:rsidTr="00930324">
        <w:tc>
          <w:tcPr>
            <w:tcW w:w="4244" w:type="dxa"/>
            <w:vAlign w:val="bottom"/>
          </w:tcPr>
          <w:p w14:paraId="6FAFD1FB" w14:textId="286D0B64" w:rsidR="00930324" w:rsidRDefault="00930324" w:rsidP="00B3193D">
            <w:r w:rsidRPr="00930324">
              <w:rPr>
                <w:rFonts w:ascii="Arial" w:hAnsi="Arial" w:cs="Arial"/>
                <w:color w:val="000000"/>
                <w:sz w:val="20"/>
                <w:szCs w:val="20"/>
              </w:rPr>
              <w:t>Transfusão</w:t>
            </w:r>
            <w:r w:rsidR="008B3701">
              <w:rPr>
                <w:rFonts w:ascii="Arial" w:hAnsi="Arial" w:cs="Arial"/>
                <w:color w:val="000000"/>
                <w:sz w:val="20"/>
                <w:szCs w:val="20"/>
              </w:rPr>
              <w:t xml:space="preserve"> sanguínea ˆ</w:t>
            </w:r>
          </w:p>
        </w:tc>
        <w:tc>
          <w:tcPr>
            <w:tcW w:w="4244" w:type="dxa"/>
            <w:vAlign w:val="bottom"/>
          </w:tcPr>
          <w:p w14:paraId="471770FC" w14:textId="174941CE" w:rsidR="00930324" w:rsidRDefault="00930324" w:rsidP="00B3193D">
            <w:pPr>
              <w:jc w:val="center"/>
            </w:pPr>
            <w:r w:rsidRPr="00930324">
              <w:rPr>
                <w:rFonts w:ascii="Arial" w:hAnsi="Arial" w:cs="Arial"/>
                <w:color w:val="000000"/>
                <w:sz w:val="20"/>
                <w:szCs w:val="20"/>
              </w:rPr>
              <w:t>5 (14,3%)</w:t>
            </w:r>
          </w:p>
        </w:tc>
      </w:tr>
      <w:tr w:rsidR="00930324" w14:paraId="221CEC6F" w14:textId="77777777" w:rsidTr="00930324">
        <w:tc>
          <w:tcPr>
            <w:tcW w:w="4244" w:type="dxa"/>
            <w:vAlign w:val="bottom"/>
          </w:tcPr>
          <w:p w14:paraId="301A12AC" w14:textId="77777777" w:rsidR="00930324" w:rsidRDefault="00930324" w:rsidP="00B3193D">
            <w:r w:rsidRPr="00930324">
              <w:rPr>
                <w:rFonts w:ascii="Arial" w:hAnsi="Arial" w:cs="Arial"/>
                <w:color w:val="000000"/>
                <w:sz w:val="20"/>
                <w:szCs w:val="20"/>
              </w:rPr>
              <w:t>Comprimento do parafuso de S2 (concavidade)</w:t>
            </w:r>
          </w:p>
        </w:tc>
        <w:tc>
          <w:tcPr>
            <w:tcW w:w="4244" w:type="dxa"/>
            <w:vAlign w:val="bottom"/>
          </w:tcPr>
          <w:p w14:paraId="734B12CB" w14:textId="43A78D5C" w:rsidR="00930324" w:rsidRDefault="00930324" w:rsidP="00B3193D">
            <w:pPr>
              <w:jc w:val="center"/>
            </w:pPr>
            <w:r w:rsidRPr="00930324">
              <w:rPr>
                <w:rFonts w:ascii="Arial" w:hAnsi="Arial" w:cs="Arial"/>
                <w:color w:val="000000"/>
                <w:sz w:val="20"/>
                <w:szCs w:val="20"/>
              </w:rPr>
              <w:t>75,3 (10,1)</w:t>
            </w:r>
            <w:r w:rsidR="00B3193D">
              <w:rPr>
                <w:rFonts w:ascii="Arial" w:hAnsi="Arial" w:cs="Arial"/>
                <w:color w:val="000000"/>
                <w:sz w:val="20"/>
                <w:szCs w:val="20"/>
              </w:rPr>
              <w:t xml:space="preserve"> ***</w:t>
            </w:r>
          </w:p>
        </w:tc>
      </w:tr>
      <w:tr w:rsidR="00930324" w14:paraId="19511799" w14:textId="77777777" w:rsidTr="00930324">
        <w:tc>
          <w:tcPr>
            <w:tcW w:w="4244" w:type="dxa"/>
            <w:vAlign w:val="bottom"/>
          </w:tcPr>
          <w:p w14:paraId="4AA72D60" w14:textId="77777777" w:rsidR="00930324" w:rsidRDefault="00930324" w:rsidP="00B3193D">
            <w:r w:rsidRPr="00930324">
              <w:rPr>
                <w:rFonts w:ascii="Arial" w:hAnsi="Arial" w:cs="Arial"/>
                <w:color w:val="000000"/>
                <w:sz w:val="20"/>
                <w:szCs w:val="20"/>
              </w:rPr>
              <w:t>Comprimento do parafuso de S2 (convexidade)</w:t>
            </w:r>
          </w:p>
        </w:tc>
        <w:tc>
          <w:tcPr>
            <w:tcW w:w="4244" w:type="dxa"/>
            <w:vAlign w:val="bottom"/>
          </w:tcPr>
          <w:p w14:paraId="0A84878E" w14:textId="4D05E00D" w:rsidR="00930324" w:rsidRDefault="00930324" w:rsidP="00B3193D">
            <w:pPr>
              <w:jc w:val="center"/>
            </w:pPr>
            <w:r w:rsidRPr="00930324">
              <w:rPr>
                <w:rFonts w:ascii="Arial" w:hAnsi="Arial" w:cs="Arial"/>
                <w:color w:val="000000"/>
                <w:sz w:val="20"/>
                <w:szCs w:val="20"/>
              </w:rPr>
              <w:t>71,8 (14,9)</w:t>
            </w:r>
            <w:r w:rsidR="00B3193D">
              <w:rPr>
                <w:rFonts w:ascii="Arial" w:hAnsi="Arial" w:cs="Arial"/>
                <w:color w:val="000000"/>
                <w:sz w:val="20"/>
                <w:szCs w:val="20"/>
              </w:rPr>
              <w:t xml:space="preserve"> ***</w:t>
            </w:r>
          </w:p>
        </w:tc>
      </w:tr>
      <w:tr w:rsidR="00930324" w14:paraId="6470295C" w14:textId="77777777" w:rsidTr="00930324">
        <w:tc>
          <w:tcPr>
            <w:tcW w:w="4244" w:type="dxa"/>
            <w:vAlign w:val="bottom"/>
          </w:tcPr>
          <w:p w14:paraId="57030739" w14:textId="77777777" w:rsidR="00930324" w:rsidRDefault="00930324" w:rsidP="00B3193D">
            <w:r w:rsidRPr="00930324">
              <w:rPr>
                <w:rFonts w:ascii="Arial" w:hAnsi="Arial" w:cs="Arial"/>
                <w:color w:val="000000"/>
                <w:sz w:val="20"/>
                <w:szCs w:val="20"/>
              </w:rPr>
              <w:t>Diâmetro médio do parafuso de S2</w:t>
            </w:r>
          </w:p>
        </w:tc>
        <w:tc>
          <w:tcPr>
            <w:tcW w:w="4244" w:type="dxa"/>
            <w:vAlign w:val="bottom"/>
          </w:tcPr>
          <w:p w14:paraId="2A38E9DA" w14:textId="48FAE713" w:rsidR="00930324" w:rsidRDefault="00930324" w:rsidP="00B3193D">
            <w:pPr>
              <w:jc w:val="center"/>
            </w:pPr>
            <w:r w:rsidRPr="00930324">
              <w:rPr>
                <w:rFonts w:ascii="Arial" w:hAnsi="Arial" w:cs="Arial"/>
                <w:color w:val="000000"/>
                <w:sz w:val="20"/>
                <w:szCs w:val="20"/>
              </w:rPr>
              <w:t>7,02 (0,26)</w:t>
            </w:r>
            <w:r w:rsidR="00B3193D">
              <w:rPr>
                <w:rFonts w:ascii="Arial" w:hAnsi="Arial" w:cs="Arial"/>
                <w:color w:val="000000"/>
                <w:sz w:val="20"/>
                <w:szCs w:val="20"/>
              </w:rPr>
              <w:t xml:space="preserve"> ***</w:t>
            </w:r>
          </w:p>
        </w:tc>
      </w:tr>
      <w:tr w:rsidR="00930324" w14:paraId="60F143F3" w14:textId="77777777" w:rsidTr="00930324">
        <w:tc>
          <w:tcPr>
            <w:tcW w:w="4244" w:type="dxa"/>
            <w:vAlign w:val="bottom"/>
          </w:tcPr>
          <w:p w14:paraId="3DEF8E1B" w14:textId="77777777" w:rsidR="00930324" w:rsidRDefault="00930324" w:rsidP="00B3193D">
            <w:r w:rsidRPr="00930324">
              <w:rPr>
                <w:rFonts w:ascii="Arial" w:hAnsi="Arial" w:cs="Arial"/>
                <w:color w:val="000000"/>
                <w:sz w:val="20"/>
                <w:szCs w:val="20"/>
              </w:rPr>
              <w:t>Infecção</w:t>
            </w:r>
          </w:p>
        </w:tc>
        <w:tc>
          <w:tcPr>
            <w:tcW w:w="4244" w:type="dxa"/>
            <w:vAlign w:val="bottom"/>
          </w:tcPr>
          <w:p w14:paraId="2A2B79ED" w14:textId="77777777" w:rsidR="00930324" w:rsidRDefault="00930324" w:rsidP="00B3193D">
            <w:pPr>
              <w:jc w:val="center"/>
            </w:pPr>
            <w:r w:rsidRPr="00930324">
              <w:rPr>
                <w:rFonts w:ascii="Arial" w:hAnsi="Arial" w:cs="Arial"/>
                <w:color w:val="000000"/>
                <w:sz w:val="20"/>
                <w:szCs w:val="20"/>
              </w:rPr>
              <w:t>3 (8,6%)</w:t>
            </w:r>
          </w:p>
        </w:tc>
      </w:tr>
      <w:tr w:rsidR="00930324" w14:paraId="4BE0B1BC" w14:textId="77777777" w:rsidTr="00930324">
        <w:tc>
          <w:tcPr>
            <w:tcW w:w="4244" w:type="dxa"/>
            <w:vAlign w:val="bottom"/>
          </w:tcPr>
          <w:p w14:paraId="22C8ACBA" w14:textId="77777777" w:rsidR="00930324" w:rsidRDefault="00930324" w:rsidP="00B3193D">
            <w:r w:rsidRPr="00930324">
              <w:rPr>
                <w:rFonts w:ascii="Arial" w:hAnsi="Arial" w:cs="Arial"/>
                <w:color w:val="000000"/>
                <w:sz w:val="20"/>
                <w:szCs w:val="20"/>
              </w:rPr>
              <w:t>Quebra da haste</w:t>
            </w:r>
          </w:p>
        </w:tc>
        <w:tc>
          <w:tcPr>
            <w:tcW w:w="4244" w:type="dxa"/>
            <w:vAlign w:val="bottom"/>
          </w:tcPr>
          <w:p w14:paraId="0797212F" w14:textId="77777777" w:rsidR="00930324" w:rsidRDefault="00930324" w:rsidP="00B3193D">
            <w:pPr>
              <w:jc w:val="center"/>
            </w:pPr>
            <w:r w:rsidRPr="00930324">
              <w:rPr>
                <w:rFonts w:ascii="Arial" w:hAnsi="Arial" w:cs="Arial"/>
                <w:color w:val="000000"/>
                <w:sz w:val="20"/>
                <w:szCs w:val="20"/>
              </w:rPr>
              <w:t>2 (5,7%)</w:t>
            </w:r>
          </w:p>
        </w:tc>
      </w:tr>
      <w:tr w:rsidR="00930324" w14:paraId="654102CA" w14:textId="77777777" w:rsidTr="00930324">
        <w:tc>
          <w:tcPr>
            <w:tcW w:w="4244" w:type="dxa"/>
            <w:vAlign w:val="bottom"/>
          </w:tcPr>
          <w:p w14:paraId="060F52D7" w14:textId="77777777" w:rsidR="00930324" w:rsidRDefault="00930324" w:rsidP="00B3193D">
            <w:r w:rsidRPr="00930324">
              <w:rPr>
                <w:rFonts w:ascii="Arial" w:hAnsi="Arial" w:cs="Arial"/>
                <w:color w:val="000000"/>
                <w:sz w:val="20"/>
                <w:szCs w:val="20"/>
              </w:rPr>
              <w:t>Quebra do parafuso S2-alar-ilíaco</w:t>
            </w:r>
          </w:p>
        </w:tc>
        <w:tc>
          <w:tcPr>
            <w:tcW w:w="4244" w:type="dxa"/>
            <w:vAlign w:val="bottom"/>
          </w:tcPr>
          <w:p w14:paraId="14E9B7E8" w14:textId="77777777" w:rsidR="00930324" w:rsidRDefault="00930324" w:rsidP="00B3193D">
            <w:pPr>
              <w:jc w:val="center"/>
            </w:pPr>
            <w:r w:rsidRPr="00930324">
              <w:rPr>
                <w:rFonts w:ascii="Arial" w:hAnsi="Arial" w:cs="Arial"/>
                <w:color w:val="000000"/>
                <w:sz w:val="20"/>
                <w:szCs w:val="20"/>
              </w:rPr>
              <w:t>3 (8,6%)</w:t>
            </w:r>
          </w:p>
        </w:tc>
      </w:tr>
      <w:tr w:rsidR="00930324" w14:paraId="7DCA94C7" w14:textId="77777777" w:rsidTr="00930324">
        <w:tc>
          <w:tcPr>
            <w:tcW w:w="4244" w:type="dxa"/>
            <w:vAlign w:val="bottom"/>
          </w:tcPr>
          <w:p w14:paraId="0A14F27A" w14:textId="706E3DD8" w:rsidR="00930324" w:rsidRDefault="00930324" w:rsidP="00B3193D">
            <w:r w:rsidRPr="00930324">
              <w:rPr>
                <w:rFonts w:ascii="Arial" w:hAnsi="Arial" w:cs="Arial"/>
                <w:color w:val="000000"/>
                <w:sz w:val="20"/>
                <w:szCs w:val="20"/>
              </w:rPr>
              <w:t>Soltura da haste</w:t>
            </w:r>
          </w:p>
        </w:tc>
        <w:tc>
          <w:tcPr>
            <w:tcW w:w="4244" w:type="dxa"/>
            <w:vAlign w:val="bottom"/>
          </w:tcPr>
          <w:p w14:paraId="60A6E5CB" w14:textId="77777777" w:rsidR="00930324" w:rsidRDefault="00930324" w:rsidP="00B3193D">
            <w:pPr>
              <w:jc w:val="center"/>
            </w:pPr>
            <w:r w:rsidRPr="00930324">
              <w:rPr>
                <w:rFonts w:ascii="Arial" w:hAnsi="Arial" w:cs="Arial"/>
                <w:color w:val="000000"/>
                <w:sz w:val="20"/>
                <w:szCs w:val="20"/>
              </w:rPr>
              <w:t>1 (2,9%)</w:t>
            </w:r>
          </w:p>
        </w:tc>
      </w:tr>
      <w:tr w:rsidR="00930324" w14:paraId="6E8DDE1D" w14:textId="77777777" w:rsidTr="00930324">
        <w:tc>
          <w:tcPr>
            <w:tcW w:w="4244" w:type="dxa"/>
            <w:vAlign w:val="bottom"/>
          </w:tcPr>
          <w:p w14:paraId="5FBA960B" w14:textId="77777777" w:rsidR="00930324" w:rsidRDefault="00930324" w:rsidP="00B3193D">
            <w:r w:rsidRPr="00930324">
              <w:rPr>
                <w:rFonts w:ascii="Arial" w:hAnsi="Arial" w:cs="Arial"/>
                <w:color w:val="000000"/>
                <w:sz w:val="20"/>
                <w:szCs w:val="20"/>
              </w:rPr>
              <w:t>Tempo de internação</w:t>
            </w:r>
          </w:p>
        </w:tc>
        <w:tc>
          <w:tcPr>
            <w:tcW w:w="4244" w:type="dxa"/>
            <w:vAlign w:val="bottom"/>
          </w:tcPr>
          <w:p w14:paraId="141B18AA" w14:textId="57C62D02" w:rsidR="00930324" w:rsidRDefault="00930324" w:rsidP="00B3193D">
            <w:pPr>
              <w:jc w:val="center"/>
            </w:pPr>
            <w:r w:rsidRPr="00930324">
              <w:rPr>
                <w:rFonts w:ascii="Arial" w:hAnsi="Arial" w:cs="Arial"/>
                <w:color w:val="000000"/>
                <w:sz w:val="20"/>
                <w:szCs w:val="20"/>
              </w:rPr>
              <w:t>21,6 (10,3)</w:t>
            </w:r>
            <w:r w:rsidR="00B3193D">
              <w:rPr>
                <w:rFonts w:ascii="Arial" w:hAnsi="Arial" w:cs="Arial"/>
                <w:color w:val="000000"/>
                <w:sz w:val="20"/>
                <w:szCs w:val="20"/>
              </w:rPr>
              <w:t xml:space="preserve"> *****</w:t>
            </w:r>
          </w:p>
        </w:tc>
      </w:tr>
      <w:tr w:rsidR="00930324" w14:paraId="612EB261" w14:textId="77777777" w:rsidTr="00930324">
        <w:tc>
          <w:tcPr>
            <w:tcW w:w="4244" w:type="dxa"/>
            <w:vAlign w:val="bottom"/>
          </w:tcPr>
          <w:p w14:paraId="538EECC1" w14:textId="504788A5" w:rsidR="00930324" w:rsidRDefault="00930324" w:rsidP="00B3193D">
            <w:r w:rsidRPr="00930324">
              <w:rPr>
                <w:rFonts w:ascii="Arial" w:hAnsi="Arial" w:cs="Arial"/>
                <w:color w:val="000000"/>
                <w:sz w:val="20"/>
                <w:szCs w:val="20"/>
              </w:rPr>
              <w:t>Tempo de UTI</w:t>
            </w:r>
          </w:p>
        </w:tc>
        <w:tc>
          <w:tcPr>
            <w:tcW w:w="4244" w:type="dxa"/>
            <w:vAlign w:val="bottom"/>
          </w:tcPr>
          <w:p w14:paraId="2D1D8972" w14:textId="7B170467" w:rsidR="00930324" w:rsidRDefault="00930324" w:rsidP="00B3193D">
            <w:pPr>
              <w:jc w:val="center"/>
            </w:pPr>
            <w:r w:rsidRPr="00930324">
              <w:rPr>
                <w:rFonts w:ascii="Arial" w:hAnsi="Arial" w:cs="Arial"/>
                <w:color w:val="000000"/>
                <w:sz w:val="20"/>
                <w:szCs w:val="20"/>
              </w:rPr>
              <w:t>1,2 (0,6)</w:t>
            </w:r>
            <w:r w:rsidR="00B3193D">
              <w:rPr>
                <w:rFonts w:ascii="Arial" w:hAnsi="Arial" w:cs="Arial"/>
                <w:color w:val="000000"/>
                <w:sz w:val="20"/>
                <w:szCs w:val="20"/>
              </w:rPr>
              <w:t xml:space="preserve"> ****</w:t>
            </w:r>
          </w:p>
        </w:tc>
      </w:tr>
      <w:tr w:rsidR="00930324" w14:paraId="0408B3CE" w14:textId="77777777" w:rsidTr="00930324">
        <w:tc>
          <w:tcPr>
            <w:tcW w:w="4244" w:type="dxa"/>
            <w:vAlign w:val="bottom"/>
          </w:tcPr>
          <w:p w14:paraId="577E1684" w14:textId="77777777" w:rsidR="00930324" w:rsidRDefault="00930324" w:rsidP="00B3193D">
            <w:r w:rsidRPr="00930324">
              <w:rPr>
                <w:rFonts w:ascii="Arial" w:hAnsi="Arial" w:cs="Arial"/>
                <w:color w:val="000000"/>
                <w:sz w:val="20"/>
                <w:szCs w:val="20"/>
              </w:rPr>
              <w:t>Cirurgias não programadas</w:t>
            </w:r>
          </w:p>
        </w:tc>
        <w:tc>
          <w:tcPr>
            <w:tcW w:w="4244" w:type="dxa"/>
            <w:vAlign w:val="bottom"/>
          </w:tcPr>
          <w:p w14:paraId="1B32B9A5" w14:textId="77777777" w:rsidR="00930324" w:rsidRDefault="00930324" w:rsidP="00B3193D">
            <w:pPr>
              <w:jc w:val="center"/>
            </w:pPr>
            <w:r w:rsidRPr="00930324">
              <w:rPr>
                <w:rFonts w:ascii="Arial" w:hAnsi="Arial" w:cs="Arial"/>
                <w:color w:val="000000"/>
                <w:sz w:val="20"/>
                <w:szCs w:val="20"/>
              </w:rPr>
              <w:t>6 (17,1%)</w:t>
            </w:r>
          </w:p>
        </w:tc>
      </w:tr>
    </w:tbl>
    <w:p w14:paraId="0F189407" w14:textId="5FB25F3F" w:rsidR="000D0F13" w:rsidRPr="00B3193D" w:rsidRDefault="000D0F13" w:rsidP="000D0F13">
      <w:pPr>
        <w:rPr>
          <w:rFonts w:ascii="Arial" w:hAnsi="Arial" w:cs="Arial"/>
          <w:sz w:val="20"/>
          <w:szCs w:val="20"/>
        </w:rPr>
      </w:pPr>
      <w:r w:rsidRPr="00B3193D">
        <w:rPr>
          <w:rFonts w:ascii="Arial" w:hAnsi="Arial" w:cs="Arial"/>
          <w:sz w:val="20"/>
          <w:szCs w:val="20"/>
        </w:rPr>
        <w:t>Média (Desvio padrão)</w:t>
      </w:r>
      <w:r w:rsidR="00B3193D" w:rsidRPr="00B3193D">
        <w:rPr>
          <w:rFonts w:ascii="Arial" w:hAnsi="Arial" w:cs="Arial"/>
          <w:sz w:val="20"/>
          <w:szCs w:val="20"/>
        </w:rPr>
        <w:t xml:space="preserve"> / N (%)</w:t>
      </w:r>
    </w:p>
    <w:p w14:paraId="1498055E" w14:textId="7A5ACBA6" w:rsidR="00930324" w:rsidRDefault="00B3193D" w:rsidP="00B3193D">
      <w:pPr>
        <w:rPr>
          <w:rFonts w:ascii="Arial" w:hAnsi="Arial" w:cs="Arial"/>
          <w:sz w:val="20"/>
          <w:szCs w:val="20"/>
        </w:rPr>
      </w:pPr>
      <w:r w:rsidRPr="00B3193D">
        <w:rPr>
          <w:rFonts w:ascii="Arial" w:hAnsi="Arial" w:cs="Arial"/>
          <w:sz w:val="20"/>
          <w:szCs w:val="20"/>
        </w:rPr>
        <w:t>*horas; **mililitros; *** milímetros; **** dias;</w:t>
      </w:r>
    </w:p>
    <w:p w14:paraId="084394B9" w14:textId="2E69C53A" w:rsidR="008B3701" w:rsidRPr="00B3193D" w:rsidRDefault="008B3701" w:rsidP="00B3193D">
      <w:pPr>
        <w:rPr>
          <w:rFonts w:ascii="Arial" w:hAnsi="Arial" w:cs="Arial"/>
          <w:sz w:val="20"/>
          <w:szCs w:val="20"/>
        </w:rPr>
      </w:pPr>
      <w:r>
        <w:rPr>
          <w:rFonts w:ascii="Arial" w:hAnsi="Arial" w:cs="Arial"/>
          <w:sz w:val="20"/>
          <w:szCs w:val="20"/>
        </w:rPr>
        <w:t xml:space="preserve">^ Concentrado de hemácias </w:t>
      </w:r>
    </w:p>
    <w:p w14:paraId="13C7CF80" w14:textId="7370295A" w:rsidR="00930324" w:rsidRDefault="00930324"/>
    <w:p w14:paraId="56DC2742" w14:textId="7EF76D12" w:rsidR="00B27AC9" w:rsidRDefault="00B27AC9"/>
    <w:p w14:paraId="752043A5" w14:textId="77777777" w:rsidR="003B7C54" w:rsidRDefault="003B7C54"/>
    <w:tbl>
      <w:tblPr>
        <w:tblW w:w="8399" w:type="dxa"/>
        <w:tblCellMar>
          <w:left w:w="70" w:type="dxa"/>
          <w:right w:w="70" w:type="dxa"/>
        </w:tblCellMar>
        <w:tblLook w:val="04A0" w:firstRow="1" w:lastRow="0" w:firstColumn="1" w:lastColumn="0" w:noHBand="0" w:noVBand="1"/>
      </w:tblPr>
      <w:tblGrid>
        <w:gridCol w:w="5716"/>
        <w:gridCol w:w="1047"/>
        <w:gridCol w:w="589"/>
        <w:gridCol w:w="1047"/>
      </w:tblGrid>
      <w:tr w:rsidR="00B27AC9" w:rsidRPr="00B27AC9" w14:paraId="29193206" w14:textId="77777777" w:rsidTr="00B27AC9">
        <w:trPr>
          <w:trHeight w:val="260"/>
        </w:trPr>
        <w:tc>
          <w:tcPr>
            <w:tcW w:w="6763" w:type="dxa"/>
            <w:gridSpan w:val="2"/>
            <w:tcBorders>
              <w:top w:val="nil"/>
              <w:left w:val="nil"/>
              <w:bottom w:val="nil"/>
              <w:right w:val="nil"/>
            </w:tcBorders>
            <w:shd w:val="clear" w:color="auto" w:fill="auto"/>
            <w:noWrap/>
            <w:vAlign w:val="bottom"/>
            <w:hideMark/>
          </w:tcPr>
          <w:p w14:paraId="21D52166" w14:textId="150C4CB0" w:rsidR="00B27AC9" w:rsidRPr="00B27AC9" w:rsidRDefault="00B27AC9" w:rsidP="00856516">
            <w:pPr>
              <w:rPr>
                <w:rFonts w:ascii="Arial" w:hAnsi="Arial" w:cs="Arial"/>
                <w:b/>
                <w:bCs/>
                <w:color w:val="000000"/>
                <w:sz w:val="20"/>
                <w:szCs w:val="20"/>
              </w:rPr>
            </w:pPr>
            <w:r>
              <w:rPr>
                <w:rFonts w:ascii="Arial" w:hAnsi="Arial" w:cs="Arial"/>
                <w:b/>
                <w:bCs/>
                <w:color w:val="000000"/>
                <w:sz w:val="20"/>
                <w:szCs w:val="20"/>
              </w:rPr>
              <w:lastRenderedPageBreak/>
              <w:t xml:space="preserve">Tabela </w:t>
            </w:r>
            <w:r w:rsidR="001B1F94">
              <w:rPr>
                <w:rFonts w:ascii="Arial" w:hAnsi="Arial" w:cs="Arial"/>
                <w:b/>
                <w:bCs/>
                <w:color w:val="000000"/>
                <w:sz w:val="20"/>
                <w:szCs w:val="20"/>
              </w:rPr>
              <w:t>4</w:t>
            </w:r>
            <w:r>
              <w:rPr>
                <w:rFonts w:ascii="Arial" w:hAnsi="Arial" w:cs="Arial"/>
                <w:b/>
                <w:bCs/>
                <w:color w:val="000000"/>
                <w:sz w:val="20"/>
                <w:szCs w:val="20"/>
              </w:rPr>
              <w:t xml:space="preserve"> - Alta densidade lombar x Baixa densidade lombar</w:t>
            </w:r>
          </w:p>
        </w:tc>
        <w:tc>
          <w:tcPr>
            <w:tcW w:w="1636" w:type="dxa"/>
            <w:gridSpan w:val="2"/>
            <w:tcBorders>
              <w:top w:val="nil"/>
              <w:left w:val="nil"/>
              <w:bottom w:val="nil"/>
              <w:right w:val="nil"/>
            </w:tcBorders>
            <w:shd w:val="clear" w:color="auto" w:fill="auto"/>
            <w:noWrap/>
            <w:vAlign w:val="bottom"/>
            <w:hideMark/>
          </w:tcPr>
          <w:p w14:paraId="086F18DB" w14:textId="77777777" w:rsidR="00B27AC9" w:rsidRPr="00B27AC9" w:rsidRDefault="00B27AC9" w:rsidP="00856516">
            <w:pPr>
              <w:jc w:val="center"/>
              <w:rPr>
                <w:rFonts w:ascii="Arial" w:hAnsi="Arial" w:cs="Arial"/>
                <w:b/>
                <w:bCs/>
                <w:color w:val="000000"/>
                <w:sz w:val="20"/>
                <w:szCs w:val="20"/>
              </w:rPr>
            </w:pPr>
          </w:p>
        </w:tc>
      </w:tr>
      <w:tr w:rsidR="00B27AC9" w:rsidRPr="00B27AC9" w14:paraId="3DE73243" w14:textId="77777777" w:rsidTr="00B27AC9">
        <w:trPr>
          <w:trHeight w:val="260"/>
        </w:trPr>
        <w:tc>
          <w:tcPr>
            <w:tcW w:w="6763" w:type="dxa"/>
            <w:gridSpan w:val="2"/>
            <w:tcBorders>
              <w:top w:val="nil"/>
              <w:left w:val="nil"/>
              <w:bottom w:val="nil"/>
              <w:right w:val="nil"/>
            </w:tcBorders>
            <w:shd w:val="clear" w:color="auto" w:fill="auto"/>
            <w:noWrap/>
            <w:vAlign w:val="bottom"/>
            <w:hideMark/>
          </w:tcPr>
          <w:tbl>
            <w:tblPr>
              <w:tblStyle w:val="Tabelacomgrade"/>
              <w:tblpPr w:leftFromText="141" w:rightFromText="141" w:horzAnchor="page" w:tblpX="2836" w:tblpY="1"/>
              <w:tblOverlap w:val="never"/>
              <w:tblW w:w="6613" w:type="dxa"/>
              <w:tblLook w:val="04A0" w:firstRow="1" w:lastRow="0" w:firstColumn="1" w:lastColumn="0" w:noHBand="0" w:noVBand="1"/>
            </w:tblPr>
            <w:tblGrid>
              <w:gridCol w:w="1753"/>
              <w:gridCol w:w="1618"/>
              <w:gridCol w:w="1621"/>
              <w:gridCol w:w="1621"/>
            </w:tblGrid>
            <w:tr w:rsidR="00B27AC9" w14:paraId="5E57AA72" w14:textId="77777777" w:rsidTr="00856516">
              <w:trPr>
                <w:trHeight w:val="199"/>
              </w:trPr>
              <w:tc>
                <w:tcPr>
                  <w:tcW w:w="1753" w:type="dxa"/>
                </w:tcPr>
                <w:p w14:paraId="46A0C6F4" w14:textId="77777777" w:rsidR="00B27AC9" w:rsidRDefault="00B27AC9" w:rsidP="00856516">
                  <w:pPr>
                    <w:jc w:val="center"/>
                    <w:rPr>
                      <w:rFonts w:ascii="Arial" w:hAnsi="Arial" w:cs="Arial"/>
                      <w:b/>
                      <w:bCs/>
                      <w:color w:val="000000"/>
                      <w:sz w:val="20"/>
                      <w:szCs w:val="20"/>
                    </w:rPr>
                  </w:pPr>
                </w:p>
              </w:tc>
              <w:tc>
                <w:tcPr>
                  <w:tcW w:w="1618" w:type="dxa"/>
                </w:tcPr>
                <w:p w14:paraId="30F366F8" w14:textId="412E1516" w:rsidR="00B27AC9" w:rsidRDefault="00B27AC9" w:rsidP="00856516">
                  <w:pPr>
                    <w:jc w:val="center"/>
                    <w:rPr>
                      <w:rFonts w:ascii="Arial" w:hAnsi="Arial" w:cs="Arial"/>
                      <w:b/>
                      <w:bCs/>
                      <w:color w:val="000000"/>
                      <w:sz w:val="20"/>
                      <w:szCs w:val="20"/>
                    </w:rPr>
                  </w:pPr>
                  <w:r>
                    <w:rPr>
                      <w:rFonts w:ascii="Arial" w:hAnsi="Arial" w:cs="Arial"/>
                      <w:b/>
                      <w:bCs/>
                      <w:color w:val="000000"/>
                      <w:sz w:val="20"/>
                      <w:szCs w:val="20"/>
                    </w:rPr>
                    <w:t>Baixa densidade</w:t>
                  </w:r>
                </w:p>
              </w:tc>
              <w:tc>
                <w:tcPr>
                  <w:tcW w:w="1621" w:type="dxa"/>
                </w:tcPr>
                <w:p w14:paraId="24F1A718" w14:textId="3F5F111E" w:rsidR="00B27AC9" w:rsidRDefault="00B27AC9" w:rsidP="00856516">
                  <w:pPr>
                    <w:jc w:val="center"/>
                    <w:rPr>
                      <w:rFonts w:ascii="Arial" w:hAnsi="Arial" w:cs="Arial"/>
                      <w:b/>
                      <w:bCs/>
                      <w:color w:val="000000"/>
                      <w:sz w:val="20"/>
                      <w:szCs w:val="20"/>
                    </w:rPr>
                  </w:pPr>
                  <w:r>
                    <w:rPr>
                      <w:rFonts w:ascii="Arial" w:hAnsi="Arial" w:cs="Arial"/>
                      <w:b/>
                      <w:bCs/>
                      <w:color w:val="000000"/>
                      <w:sz w:val="20"/>
                      <w:szCs w:val="20"/>
                    </w:rPr>
                    <w:t>Alta densidade</w:t>
                  </w:r>
                </w:p>
              </w:tc>
              <w:tc>
                <w:tcPr>
                  <w:tcW w:w="1621" w:type="dxa"/>
                  <w:vAlign w:val="bottom"/>
                </w:tcPr>
                <w:p w14:paraId="65A3F76B" w14:textId="77777777" w:rsidR="00B27AC9" w:rsidRDefault="00B27AC9" w:rsidP="00856516">
                  <w:pPr>
                    <w:jc w:val="center"/>
                    <w:rPr>
                      <w:rFonts w:ascii="Arial" w:hAnsi="Arial" w:cs="Arial"/>
                      <w:b/>
                      <w:bCs/>
                      <w:color w:val="000000"/>
                      <w:sz w:val="20"/>
                      <w:szCs w:val="20"/>
                    </w:rPr>
                  </w:pPr>
                  <w:r w:rsidRPr="00B27AC9">
                    <w:rPr>
                      <w:rFonts w:ascii="Arial" w:hAnsi="Arial" w:cs="Arial"/>
                      <w:b/>
                      <w:bCs/>
                      <w:color w:val="000000"/>
                      <w:sz w:val="20"/>
                      <w:szCs w:val="20"/>
                    </w:rPr>
                    <w:t>valor-p</w:t>
                  </w:r>
                </w:p>
              </w:tc>
            </w:tr>
            <w:tr w:rsidR="00B27AC9" w14:paraId="07E70C98" w14:textId="77777777" w:rsidTr="00856516">
              <w:trPr>
                <w:trHeight w:val="219"/>
              </w:trPr>
              <w:tc>
                <w:tcPr>
                  <w:tcW w:w="1753" w:type="dxa"/>
                  <w:vAlign w:val="bottom"/>
                </w:tcPr>
                <w:p w14:paraId="6432CACD" w14:textId="79B1ECF5" w:rsidR="00B27AC9" w:rsidRDefault="00B27AC9" w:rsidP="00B27AC9">
                  <w:pPr>
                    <w:jc w:val="center"/>
                    <w:rPr>
                      <w:rFonts w:ascii="Arial" w:hAnsi="Arial" w:cs="Arial"/>
                      <w:b/>
                      <w:bCs/>
                      <w:color w:val="000000"/>
                      <w:sz w:val="20"/>
                      <w:szCs w:val="20"/>
                    </w:rPr>
                  </w:pPr>
                  <w:proofErr w:type="spellStart"/>
                  <w:r>
                    <w:rPr>
                      <w:rFonts w:ascii="Arial" w:hAnsi="Arial" w:cs="Arial"/>
                      <w:color w:val="000000"/>
                      <w:sz w:val="20"/>
                      <w:szCs w:val="20"/>
                    </w:rPr>
                    <w:t>Cobb</w:t>
                  </w:r>
                  <w:proofErr w:type="spellEnd"/>
                  <w:r>
                    <w:rPr>
                      <w:rFonts w:ascii="Arial" w:hAnsi="Arial" w:cs="Arial"/>
                      <w:color w:val="000000"/>
                      <w:sz w:val="20"/>
                      <w:szCs w:val="20"/>
                    </w:rPr>
                    <w:t xml:space="preserve"> pré-operatório</w:t>
                  </w:r>
                </w:p>
              </w:tc>
              <w:tc>
                <w:tcPr>
                  <w:tcW w:w="1618" w:type="dxa"/>
                  <w:vAlign w:val="bottom"/>
                </w:tcPr>
                <w:p w14:paraId="0B9B1030" w14:textId="200DB601" w:rsidR="00B27AC9" w:rsidRDefault="00B27AC9" w:rsidP="00B27AC9">
                  <w:pPr>
                    <w:jc w:val="center"/>
                    <w:rPr>
                      <w:rFonts w:ascii="Arial" w:hAnsi="Arial" w:cs="Arial"/>
                      <w:b/>
                      <w:bCs/>
                      <w:color w:val="000000"/>
                      <w:sz w:val="20"/>
                      <w:szCs w:val="20"/>
                    </w:rPr>
                  </w:pPr>
                  <w:r>
                    <w:rPr>
                      <w:rFonts w:ascii="Arial" w:hAnsi="Arial" w:cs="Arial"/>
                      <w:color w:val="000000"/>
                      <w:sz w:val="20"/>
                      <w:szCs w:val="20"/>
                    </w:rPr>
                    <w:t>103,3 (30,2)</w:t>
                  </w:r>
                </w:p>
              </w:tc>
              <w:tc>
                <w:tcPr>
                  <w:tcW w:w="1621" w:type="dxa"/>
                  <w:vAlign w:val="bottom"/>
                </w:tcPr>
                <w:p w14:paraId="56C8C2A0" w14:textId="6F8552DB" w:rsidR="00B27AC9" w:rsidRDefault="00B27AC9" w:rsidP="00B27AC9">
                  <w:pPr>
                    <w:jc w:val="center"/>
                    <w:rPr>
                      <w:rFonts w:ascii="Arial" w:hAnsi="Arial" w:cs="Arial"/>
                      <w:b/>
                      <w:bCs/>
                      <w:color w:val="000000"/>
                      <w:sz w:val="20"/>
                      <w:szCs w:val="20"/>
                    </w:rPr>
                  </w:pPr>
                  <w:r>
                    <w:rPr>
                      <w:rFonts w:ascii="Arial" w:hAnsi="Arial" w:cs="Arial"/>
                      <w:color w:val="000000"/>
                      <w:sz w:val="20"/>
                      <w:szCs w:val="20"/>
                    </w:rPr>
                    <w:t>95,6 (19,8)</w:t>
                  </w:r>
                </w:p>
              </w:tc>
              <w:tc>
                <w:tcPr>
                  <w:tcW w:w="1621" w:type="dxa"/>
                  <w:vAlign w:val="bottom"/>
                </w:tcPr>
                <w:p w14:paraId="6EDF4F03" w14:textId="26F22F9C"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0,368</w:t>
                  </w:r>
                </w:p>
              </w:tc>
            </w:tr>
            <w:tr w:rsidR="00B27AC9" w14:paraId="7F72B765" w14:textId="77777777" w:rsidTr="00856516">
              <w:trPr>
                <w:trHeight w:val="199"/>
              </w:trPr>
              <w:tc>
                <w:tcPr>
                  <w:tcW w:w="1753" w:type="dxa"/>
                  <w:vAlign w:val="bottom"/>
                </w:tcPr>
                <w:p w14:paraId="45DAE947" w14:textId="04F32FEE" w:rsidR="00B27AC9" w:rsidRDefault="00B27AC9" w:rsidP="00B27AC9">
                  <w:pPr>
                    <w:jc w:val="center"/>
                    <w:rPr>
                      <w:rFonts w:ascii="Arial" w:hAnsi="Arial" w:cs="Arial"/>
                      <w:b/>
                      <w:bCs/>
                      <w:color w:val="000000"/>
                      <w:sz w:val="20"/>
                      <w:szCs w:val="20"/>
                    </w:rPr>
                  </w:pPr>
                  <w:r>
                    <w:rPr>
                      <w:rFonts w:ascii="Arial" w:hAnsi="Arial" w:cs="Arial"/>
                      <w:color w:val="000000"/>
                      <w:sz w:val="20"/>
                      <w:szCs w:val="20"/>
                    </w:rPr>
                    <w:t>O</w:t>
                  </w:r>
                  <w:r w:rsidR="009B68E3">
                    <w:rPr>
                      <w:rFonts w:ascii="Arial" w:hAnsi="Arial" w:cs="Arial"/>
                      <w:color w:val="000000"/>
                      <w:sz w:val="20"/>
                      <w:szCs w:val="20"/>
                    </w:rPr>
                    <w:t>P</w:t>
                  </w:r>
                  <w:r>
                    <w:rPr>
                      <w:rFonts w:ascii="Arial" w:hAnsi="Arial" w:cs="Arial"/>
                      <w:color w:val="000000"/>
                      <w:sz w:val="20"/>
                      <w:szCs w:val="20"/>
                    </w:rPr>
                    <w:t xml:space="preserve"> pré-operatório</w:t>
                  </w:r>
                </w:p>
              </w:tc>
              <w:tc>
                <w:tcPr>
                  <w:tcW w:w="1618" w:type="dxa"/>
                  <w:vAlign w:val="bottom"/>
                </w:tcPr>
                <w:p w14:paraId="7A341C43" w14:textId="704EF924" w:rsidR="00B27AC9" w:rsidRDefault="00B27AC9" w:rsidP="00B27AC9">
                  <w:pPr>
                    <w:jc w:val="center"/>
                    <w:rPr>
                      <w:rFonts w:ascii="Arial" w:hAnsi="Arial" w:cs="Arial"/>
                      <w:b/>
                      <w:bCs/>
                      <w:color w:val="000000"/>
                      <w:sz w:val="20"/>
                      <w:szCs w:val="20"/>
                    </w:rPr>
                  </w:pPr>
                  <w:r>
                    <w:rPr>
                      <w:rFonts w:ascii="Arial" w:hAnsi="Arial" w:cs="Arial"/>
                      <w:color w:val="000000"/>
                      <w:sz w:val="20"/>
                      <w:szCs w:val="20"/>
                    </w:rPr>
                    <w:t>25,6 (11,8)</w:t>
                  </w:r>
                </w:p>
              </w:tc>
              <w:tc>
                <w:tcPr>
                  <w:tcW w:w="1621" w:type="dxa"/>
                  <w:vAlign w:val="bottom"/>
                </w:tcPr>
                <w:p w14:paraId="3C2D1D84" w14:textId="6B0B96F9" w:rsidR="00B27AC9" w:rsidRDefault="00B27AC9" w:rsidP="00B27AC9">
                  <w:pPr>
                    <w:jc w:val="center"/>
                    <w:rPr>
                      <w:rFonts w:ascii="Arial" w:hAnsi="Arial" w:cs="Arial"/>
                      <w:b/>
                      <w:bCs/>
                      <w:color w:val="000000"/>
                      <w:sz w:val="20"/>
                      <w:szCs w:val="20"/>
                    </w:rPr>
                  </w:pPr>
                  <w:r>
                    <w:rPr>
                      <w:rFonts w:ascii="Arial" w:hAnsi="Arial" w:cs="Arial"/>
                      <w:color w:val="000000"/>
                      <w:sz w:val="20"/>
                      <w:szCs w:val="20"/>
                    </w:rPr>
                    <w:t>31,0 (9,0)</w:t>
                  </w:r>
                </w:p>
              </w:tc>
              <w:tc>
                <w:tcPr>
                  <w:tcW w:w="1621" w:type="dxa"/>
                  <w:vAlign w:val="bottom"/>
                </w:tcPr>
                <w:p w14:paraId="29D22F70" w14:textId="44D18509"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0,149</w:t>
                  </w:r>
                </w:p>
              </w:tc>
            </w:tr>
            <w:tr w:rsidR="00B27AC9" w14:paraId="4431499C" w14:textId="77777777" w:rsidTr="00856516">
              <w:trPr>
                <w:trHeight w:val="219"/>
              </w:trPr>
              <w:tc>
                <w:tcPr>
                  <w:tcW w:w="1753" w:type="dxa"/>
                  <w:vAlign w:val="bottom"/>
                </w:tcPr>
                <w:p w14:paraId="6EF2AA7B" w14:textId="70B33097" w:rsidR="00B27AC9" w:rsidRDefault="00B27AC9" w:rsidP="00B27AC9">
                  <w:pPr>
                    <w:jc w:val="center"/>
                    <w:rPr>
                      <w:rFonts w:ascii="Arial" w:hAnsi="Arial" w:cs="Arial"/>
                      <w:b/>
                      <w:bCs/>
                      <w:color w:val="000000"/>
                      <w:sz w:val="20"/>
                      <w:szCs w:val="20"/>
                    </w:rPr>
                  </w:pPr>
                  <w:r>
                    <w:rPr>
                      <w:rFonts w:ascii="Arial" w:hAnsi="Arial" w:cs="Arial"/>
                      <w:color w:val="000000"/>
                      <w:sz w:val="20"/>
                      <w:szCs w:val="20"/>
                    </w:rPr>
                    <w:t xml:space="preserve">%correção </w:t>
                  </w:r>
                  <w:proofErr w:type="spellStart"/>
                  <w:r>
                    <w:rPr>
                      <w:rFonts w:ascii="Arial" w:hAnsi="Arial" w:cs="Arial"/>
                      <w:color w:val="000000"/>
                      <w:sz w:val="20"/>
                      <w:szCs w:val="20"/>
                    </w:rPr>
                    <w:t>Cobb</w:t>
                  </w:r>
                  <w:proofErr w:type="spellEnd"/>
                </w:p>
              </w:tc>
              <w:tc>
                <w:tcPr>
                  <w:tcW w:w="1618" w:type="dxa"/>
                  <w:vAlign w:val="bottom"/>
                </w:tcPr>
                <w:p w14:paraId="6E831635" w14:textId="74B742A8" w:rsidR="00B27AC9" w:rsidRDefault="00B27AC9" w:rsidP="00B27AC9">
                  <w:pPr>
                    <w:jc w:val="center"/>
                    <w:rPr>
                      <w:rFonts w:ascii="Arial" w:hAnsi="Arial" w:cs="Arial"/>
                      <w:b/>
                      <w:bCs/>
                      <w:color w:val="000000"/>
                      <w:sz w:val="20"/>
                      <w:szCs w:val="20"/>
                    </w:rPr>
                  </w:pPr>
                  <w:r>
                    <w:rPr>
                      <w:rFonts w:ascii="Arial" w:hAnsi="Arial" w:cs="Arial"/>
                      <w:color w:val="000000"/>
                      <w:sz w:val="20"/>
                      <w:szCs w:val="20"/>
                    </w:rPr>
                    <w:t>54,1 (17,7)</w:t>
                  </w:r>
                </w:p>
              </w:tc>
              <w:tc>
                <w:tcPr>
                  <w:tcW w:w="1621" w:type="dxa"/>
                  <w:vAlign w:val="bottom"/>
                </w:tcPr>
                <w:p w14:paraId="35F7F441" w14:textId="50E892FD" w:rsidR="00B27AC9" w:rsidRDefault="00B27AC9" w:rsidP="00B27AC9">
                  <w:pPr>
                    <w:jc w:val="center"/>
                    <w:rPr>
                      <w:rFonts w:ascii="Arial" w:hAnsi="Arial" w:cs="Arial"/>
                      <w:b/>
                      <w:bCs/>
                      <w:color w:val="000000"/>
                      <w:sz w:val="20"/>
                      <w:szCs w:val="20"/>
                    </w:rPr>
                  </w:pPr>
                  <w:r>
                    <w:rPr>
                      <w:rFonts w:ascii="Arial" w:hAnsi="Arial" w:cs="Arial"/>
                      <w:color w:val="000000"/>
                      <w:sz w:val="20"/>
                      <w:szCs w:val="20"/>
                    </w:rPr>
                    <w:t>56,2 (14,8)</w:t>
                  </w:r>
                </w:p>
              </w:tc>
              <w:tc>
                <w:tcPr>
                  <w:tcW w:w="1621" w:type="dxa"/>
                  <w:vAlign w:val="bottom"/>
                </w:tcPr>
                <w:p w14:paraId="046224FA" w14:textId="7E558E24"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0,713</w:t>
                  </w:r>
                </w:p>
              </w:tc>
            </w:tr>
            <w:tr w:rsidR="00B27AC9" w14:paraId="00ABE864" w14:textId="77777777" w:rsidTr="00856516">
              <w:trPr>
                <w:trHeight w:val="199"/>
              </w:trPr>
              <w:tc>
                <w:tcPr>
                  <w:tcW w:w="1753" w:type="dxa"/>
                  <w:vAlign w:val="bottom"/>
                </w:tcPr>
                <w:p w14:paraId="31E1C7C1" w14:textId="58159D79" w:rsidR="00B27AC9" w:rsidRPr="00B27AC9" w:rsidRDefault="00B27AC9" w:rsidP="00B27AC9">
                  <w:pPr>
                    <w:jc w:val="center"/>
                    <w:rPr>
                      <w:rFonts w:ascii="Arial" w:hAnsi="Arial" w:cs="Arial"/>
                      <w:b/>
                      <w:bCs/>
                      <w:color w:val="000000"/>
                      <w:sz w:val="20"/>
                      <w:szCs w:val="20"/>
                      <w:lang w:val="en-US"/>
                    </w:rPr>
                  </w:pPr>
                  <w:r>
                    <w:rPr>
                      <w:rFonts w:ascii="Arial" w:hAnsi="Arial" w:cs="Arial"/>
                      <w:color w:val="000000"/>
                      <w:sz w:val="20"/>
                      <w:szCs w:val="20"/>
                    </w:rPr>
                    <w:t>%correção OP</w:t>
                  </w:r>
                </w:p>
              </w:tc>
              <w:tc>
                <w:tcPr>
                  <w:tcW w:w="1618" w:type="dxa"/>
                  <w:vAlign w:val="bottom"/>
                </w:tcPr>
                <w:p w14:paraId="3DB90809" w14:textId="2E052F85" w:rsidR="00B27AC9" w:rsidRDefault="00B27AC9" w:rsidP="00B27AC9">
                  <w:pPr>
                    <w:jc w:val="center"/>
                    <w:rPr>
                      <w:rFonts w:ascii="Arial" w:hAnsi="Arial" w:cs="Arial"/>
                      <w:b/>
                      <w:bCs/>
                      <w:color w:val="000000"/>
                      <w:sz w:val="20"/>
                      <w:szCs w:val="20"/>
                    </w:rPr>
                  </w:pPr>
                  <w:r>
                    <w:rPr>
                      <w:rFonts w:ascii="Arial" w:hAnsi="Arial" w:cs="Arial"/>
                      <w:color w:val="000000"/>
                      <w:sz w:val="20"/>
                      <w:szCs w:val="20"/>
                    </w:rPr>
                    <w:t>63,8 (29,0)</w:t>
                  </w:r>
                </w:p>
              </w:tc>
              <w:tc>
                <w:tcPr>
                  <w:tcW w:w="1621" w:type="dxa"/>
                  <w:vAlign w:val="bottom"/>
                </w:tcPr>
                <w:p w14:paraId="7E7621B3" w14:textId="560C71C5" w:rsidR="00B27AC9" w:rsidRDefault="00B27AC9" w:rsidP="00B27AC9">
                  <w:pPr>
                    <w:jc w:val="center"/>
                    <w:rPr>
                      <w:rFonts w:ascii="Arial" w:hAnsi="Arial" w:cs="Arial"/>
                      <w:b/>
                      <w:bCs/>
                      <w:color w:val="000000"/>
                      <w:sz w:val="20"/>
                      <w:szCs w:val="20"/>
                    </w:rPr>
                  </w:pPr>
                  <w:r>
                    <w:rPr>
                      <w:rFonts w:ascii="Arial" w:hAnsi="Arial" w:cs="Arial"/>
                      <w:color w:val="000000"/>
                      <w:sz w:val="20"/>
                      <w:szCs w:val="20"/>
                    </w:rPr>
                    <w:t>69,2 (26,3)</w:t>
                  </w:r>
                </w:p>
              </w:tc>
              <w:tc>
                <w:tcPr>
                  <w:tcW w:w="1621" w:type="dxa"/>
                  <w:vAlign w:val="bottom"/>
                </w:tcPr>
                <w:p w14:paraId="14F7C777" w14:textId="78622F5A"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0,576</w:t>
                  </w:r>
                </w:p>
              </w:tc>
            </w:tr>
            <w:tr w:rsidR="00B27AC9" w14:paraId="7C434B04" w14:textId="77777777" w:rsidTr="00856516">
              <w:trPr>
                <w:trHeight w:val="219"/>
              </w:trPr>
              <w:tc>
                <w:tcPr>
                  <w:tcW w:w="1753" w:type="dxa"/>
                  <w:vAlign w:val="bottom"/>
                </w:tcPr>
                <w:p w14:paraId="5DFEF4BB" w14:textId="5227D9E8" w:rsidR="00B27AC9" w:rsidRDefault="00B27AC9" w:rsidP="00B27AC9">
                  <w:pPr>
                    <w:jc w:val="center"/>
                    <w:rPr>
                      <w:rFonts w:ascii="Arial" w:hAnsi="Arial" w:cs="Arial"/>
                      <w:b/>
                      <w:bCs/>
                      <w:color w:val="000000"/>
                      <w:sz w:val="20"/>
                      <w:szCs w:val="20"/>
                    </w:rPr>
                  </w:pPr>
                  <w:r>
                    <w:rPr>
                      <w:rFonts w:ascii="Arial" w:hAnsi="Arial" w:cs="Arial"/>
                      <w:color w:val="000000"/>
                      <w:sz w:val="20"/>
                      <w:szCs w:val="20"/>
                    </w:rPr>
                    <w:t>Comprimento do parafuso de S2 (concavidade)</w:t>
                  </w:r>
                </w:p>
              </w:tc>
              <w:tc>
                <w:tcPr>
                  <w:tcW w:w="1618" w:type="dxa"/>
                  <w:vAlign w:val="bottom"/>
                </w:tcPr>
                <w:p w14:paraId="18FF90D0" w14:textId="51BE4419" w:rsidR="00B27AC9" w:rsidRDefault="00B27AC9" w:rsidP="00B27AC9">
                  <w:pPr>
                    <w:jc w:val="center"/>
                    <w:rPr>
                      <w:rFonts w:ascii="Arial" w:hAnsi="Arial" w:cs="Arial"/>
                      <w:b/>
                      <w:bCs/>
                      <w:color w:val="000000"/>
                      <w:sz w:val="20"/>
                      <w:szCs w:val="20"/>
                    </w:rPr>
                  </w:pPr>
                  <w:r>
                    <w:rPr>
                      <w:rFonts w:ascii="Arial" w:hAnsi="Arial" w:cs="Arial"/>
                      <w:color w:val="000000"/>
                      <w:sz w:val="20"/>
                      <w:szCs w:val="20"/>
                    </w:rPr>
                    <w:t>74,0 (10,6)</w:t>
                  </w:r>
                </w:p>
              </w:tc>
              <w:tc>
                <w:tcPr>
                  <w:tcW w:w="1621" w:type="dxa"/>
                  <w:vAlign w:val="bottom"/>
                </w:tcPr>
                <w:p w14:paraId="1F634991" w14:textId="4C64089E" w:rsidR="00B27AC9" w:rsidRDefault="00B27AC9" w:rsidP="00B27AC9">
                  <w:pPr>
                    <w:jc w:val="center"/>
                    <w:rPr>
                      <w:rFonts w:ascii="Arial" w:hAnsi="Arial" w:cs="Arial"/>
                      <w:b/>
                      <w:bCs/>
                      <w:color w:val="000000"/>
                      <w:sz w:val="20"/>
                      <w:szCs w:val="20"/>
                    </w:rPr>
                  </w:pPr>
                  <w:r>
                    <w:rPr>
                      <w:rFonts w:ascii="Arial" w:hAnsi="Arial" w:cs="Arial"/>
                      <w:color w:val="000000"/>
                      <w:sz w:val="20"/>
                      <w:szCs w:val="20"/>
                    </w:rPr>
                    <w:t>77,0 (9,6)</w:t>
                  </w:r>
                </w:p>
              </w:tc>
              <w:tc>
                <w:tcPr>
                  <w:tcW w:w="1621" w:type="dxa"/>
                  <w:vAlign w:val="bottom"/>
                </w:tcPr>
                <w:p w14:paraId="3F09F686" w14:textId="738D6D0E"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0,394</w:t>
                  </w:r>
                </w:p>
              </w:tc>
            </w:tr>
            <w:tr w:rsidR="00B27AC9" w14:paraId="79DCDE68" w14:textId="77777777" w:rsidTr="00856516">
              <w:trPr>
                <w:trHeight w:val="199"/>
              </w:trPr>
              <w:tc>
                <w:tcPr>
                  <w:tcW w:w="1753" w:type="dxa"/>
                  <w:vAlign w:val="bottom"/>
                </w:tcPr>
                <w:p w14:paraId="3CA1DE93" w14:textId="6150126C" w:rsidR="00B27AC9" w:rsidRDefault="00B27AC9" w:rsidP="00B27AC9">
                  <w:pPr>
                    <w:jc w:val="center"/>
                    <w:rPr>
                      <w:rFonts w:ascii="Arial" w:hAnsi="Arial" w:cs="Arial"/>
                      <w:b/>
                      <w:bCs/>
                      <w:color w:val="000000"/>
                      <w:sz w:val="20"/>
                      <w:szCs w:val="20"/>
                    </w:rPr>
                  </w:pPr>
                  <w:r>
                    <w:rPr>
                      <w:rFonts w:ascii="Arial" w:hAnsi="Arial" w:cs="Arial"/>
                      <w:color w:val="000000"/>
                      <w:sz w:val="20"/>
                      <w:szCs w:val="20"/>
                    </w:rPr>
                    <w:t>Comprimento do parafuso de S2 (convexidade)</w:t>
                  </w:r>
                </w:p>
              </w:tc>
              <w:tc>
                <w:tcPr>
                  <w:tcW w:w="1618" w:type="dxa"/>
                  <w:vAlign w:val="bottom"/>
                </w:tcPr>
                <w:p w14:paraId="28E48CA3" w14:textId="305E62C1" w:rsidR="00B27AC9" w:rsidRDefault="00B27AC9" w:rsidP="00B27AC9">
                  <w:pPr>
                    <w:jc w:val="center"/>
                    <w:rPr>
                      <w:rFonts w:ascii="Arial" w:hAnsi="Arial" w:cs="Arial"/>
                      <w:b/>
                      <w:bCs/>
                      <w:color w:val="000000"/>
                      <w:sz w:val="20"/>
                      <w:szCs w:val="20"/>
                    </w:rPr>
                  </w:pPr>
                  <w:r>
                    <w:rPr>
                      <w:rFonts w:ascii="Arial" w:hAnsi="Arial" w:cs="Arial"/>
                      <w:color w:val="000000"/>
                      <w:sz w:val="20"/>
                      <w:szCs w:val="20"/>
                    </w:rPr>
                    <w:t>74,3 (9,5)</w:t>
                  </w:r>
                </w:p>
              </w:tc>
              <w:tc>
                <w:tcPr>
                  <w:tcW w:w="1621" w:type="dxa"/>
                  <w:vAlign w:val="bottom"/>
                </w:tcPr>
                <w:p w14:paraId="62F41DE2" w14:textId="72B7C952" w:rsidR="00B27AC9" w:rsidRDefault="00B27AC9" w:rsidP="00B27AC9">
                  <w:pPr>
                    <w:jc w:val="center"/>
                    <w:rPr>
                      <w:rFonts w:ascii="Arial" w:hAnsi="Arial" w:cs="Arial"/>
                      <w:b/>
                      <w:bCs/>
                      <w:color w:val="000000"/>
                      <w:sz w:val="20"/>
                      <w:szCs w:val="20"/>
                    </w:rPr>
                  </w:pPr>
                  <w:r>
                    <w:rPr>
                      <w:rFonts w:ascii="Arial" w:hAnsi="Arial" w:cs="Arial"/>
                      <w:color w:val="000000"/>
                      <w:sz w:val="20"/>
                      <w:szCs w:val="20"/>
                    </w:rPr>
                    <w:t>68,5 (19,8)</w:t>
                  </w:r>
                </w:p>
              </w:tc>
              <w:tc>
                <w:tcPr>
                  <w:tcW w:w="1621" w:type="dxa"/>
                  <w:vAlign w:val="bottom"/>
                </w:tcPr>
                <w:p w14:paraId="4A2B4AAE" w14:textId="250124DE"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0,266</w:t>
                  </w:r>
                </w:p>
              </w:tc>
            </w:tr>
            <w:tr w:rsidR="00B27AC9" w14:paraId="5BDB1410" w14:textId="77777777" w:rsidTr="00856516">
              <w:trPr>
                <w:trHeight w:val="219"/>
              </w:trPr>
              <w:tc>
                <w:tcPr>
                  <w:tcW w:w="1753" w:type="dxa"/>
                  <w:vAlign w:val="bottom"/>
                </w:tcPr>
                <w:p w14:paraId="294D3CE2" w14:textId="398F9541" w:rsidR="00B27AC9" w:rsidRDefault="00B27AC9" w:rsidP="00B27AC9">
                  <w:pPr>
                    <w:jc w:val="center"/>
                    <w:rPr>
                      <w:rFonts w:ascii="Arial" w:hAnsi="Arial" w:cs="Arial"/>
                      <w:b/>
                      <w:bCs/>
                      <w:color w:val="000000"/>
                      <w:sz w:val="20"/>
                      <w:szCs w:val="20"/>
                    </w:rPr>
                  </w:pPr>
                  <w:r>
                    <w:rPr>
                      <w:rFonts w:ascii="Arial" w:hAnsi="Arial" w:cs="Arial"/>
                      <w:color w:val="000000"/>
                      <w:sz w:val="20"/>
                      <w:szCs w:val="20"/>
                    </w:rPr>
                    <w:t>Infecção</w:t>
                  </w:r>
                </w:p>
              </w:tc>
              <w:tc>
                <w:tcPr>
                  <w:tcW w:w="1618" w:type="dxa"/>
                  <w:vAlign w:val="bottom"/>
                </w:tcPr>
                <w:p w14:paraId="132582BF" w14:textId="68FF053A" w:rsidR="00B27AC9" w:rsidRDefault="00B27AC9" w:rsidP="00B27AC9">
                  <w:pPr>
                    <w:jc w:val="center"/>
                    <w:rPr>
                      <w:rFonts w:ascii="Arial" w:hAnsi="Arial" w:cs="Arial"/>
                      <w:b/>
                      <w:bCs/>
                      <w:color w:val="000000"/>
                      <w:sz w:val="20"/>
                      <w:szCs w:val="20"/>
                    </w:rPr>
                  </w:pPr>
                  <w:r>
                    <w:rPr>
                      <w:rFonts w:ascii="Arial" w:hAnsi="Arial" w:cs="Arial"/>
                      <w:color w:val="000000"/>
                      <w:sz w:val="20"/>
                      <w:szCs w:val="20"/>
                    </w:rPr>
                    <w:t>2 (10,0%)</w:t>
                  </w:r>
                </w:p>
              </w:tc>
              <w:tc>
                <w:tcPr>
                  <w:tcW w:w="1621" w:type="dxa"/>
                  <w:vAlign w:val="bottom"/>
                </w:tcPr>
                <w:p w14:paraId="2115884B" w14:textId="1B41B394" w:rsidR="00B27AC9" w:rsidRDefault="00B27AC9" w:rsidP="00B27AC9">
                  <w:pPr>
                    <w:jc w:val="center"/>
                    <w:rPr>
                      <w:rFonts w:ascii="Arial" w:hAnsi="Arial" w:cs="Arial"/>
                      <w:b/>
                      <w:bCs/>
                      <w:color w:val="000000"/>
                      <w:sz w:val="20"/>
                      <w:szCs w:val="20"/>
                    </w:rPr>
                  </w:pPr>
                  <w:r>
                    <w:rPr>
                      <w:rFonts w:ascii="Arial" w:hAnsi="Arial" w:cs="Arial"/>
                      <w:color w:val="000000"/>
                      <w:sz w:val="20"/>
                      <w:szCs w:val="20"/>
                    </w:rPr>
                    <w:t>1 (6,7%)</w:t>
                  </w:r>
                </w:p>
              </w:tc>
              <w:tc>
                <w:tcPr>
                  <w:tcW w:w="1621" w:type="dxa"/>
                  <w:vAlign w:val="bottom"/>
                </w:tcPr>
                <w:p w14:paraId="521A73D8" w14:textId="13FBE087"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0,610</w:t>
                  </w:r>
                </w:p>
              </w:tc>
            </w:tr>
            <w:tr w:rsidR="00B27AC9" w14:paraId="73B1F4D9" w14:textId="77777777" w:rsidTr="00856516">
              <w:trPr>
                <w:trHeight w:val="219"/>
              </w:trPr>
              <w:tc>
                <w:tcPr>
                  <w:tcW w:w="1753" w:type="dxa"/>
                  <w:vAlign w:val="bottom"/>
                </w:tcPr>
                <w:p w14:paraId="3075CD10" w14:textId="545DA3D9"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Quebra da haste</w:t>
                  </w:r>
                </w:p>
              </w:tc>
              <w:tc>
                <w:tcPr>
                  <w:tcW w:w="1618" w:type="dxa"/>
                  <w:vAlign w:val="bottom"/>
                </w:tcPr>
                <w:p w14:paraId="32489D4E" w14:textId="429302B1"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1 (5,0%)</w:t>
                  </w:r>
                </w:p>
              </w:tc>
              <w:tc>
                <w:tcPr>
                  <w:tcW w:w="1621" w:type="dxa"/>
                  <w:vAlign w:val="bottom"/>
                </w:tcPr>
                <w:p w14:paraId="26C77F8C" w14:textId="1CDB168C"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1 (6,7%)</w:t>
                  </w:r>
                </w:p>
              </w:tc>
              <w:tc>
                <w:tcPr>
                  <w:tcW w:w="1621" w:type="dxa"/>
                  <w:vAlign w:val="bottom"/>
                </w:tcPr>
                <w:p w14:paraId="4E74D8E7" w14:textId="40E14800"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0,681</w:t>
                  </w:r>
                </w:p>
              </w:tc>
            </w:tr>
            <w:tr w:rsidR="00B27AC9" w14:paraId="04806DF5" w14:textId="77777777" w:rsidTr="00856516">
              <w:trPr>
                <w:trHeight w:val="219"/>
              </w:trPr>
              <w:tc>
                <w:tcPr>
                  <w:tcW w:w="1753" w:type="dxa"/>
                  <w:vAlign w:val="bottom"/>
                </w:tcPr>
                <w:p w14:paraId="7E9D878B" w14:textId="31804405"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Quebra do parafuso S2-alar-ilíaco</w:t>
                  </w:r>
                </w:p>
              </w:tc>
              <w:tc>
                <w:tcPr>
                  <w:tcW w:w="1618" w:type="dxa"/>
                  <w:vAlign w:val="bottom"/>
                </w:tcPr>
                <w:p w14:paraId="7C65E89D" w14:textId="47D0CC63"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1 (5,0%)</w:t>
                  </w:r>
                </w:p>
              </w:tc>
              <w:tc>
                <w:tcPr>
                  <w:tcW w:w="1621" w:type="dxa"/>
                  <w:vAlign w:val="bottom"/>
                </w:tcPr>
                <w:p w14:paraId="6C99B875" w14:textId="4F10C060"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2 (13,3%)</w:t>
                  </w:r>
                </w:p>
              </w:tc>
              <w:tc>
                <w:tcPr>
                  <w:tcW w:w="1621" w:type="dxa"/>
                  <w:vAlign w:val="bottom"/>
                </w:tcPr>
                <w:p w14:paraId="60465038" w14:textId="520067D0"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0,390</w:t>
                  </w:r>
                </w:p>
              </w:tc>
            </w:tr>
            <w:tr w:rsidR="00B27AC9" w14:paraId="3DDFAAD9" w14:textId="77777777" w:rsidTr="00856516">
              <w:trPr>
                <w:trHeight w:val="219"/>
              </w:trPr>
              <w:tc>
                <w:tcPr>
                  <w:tcW w:w="1753" w:type="dxa"/>
                  <w:vAlign w:val="bottom"/>
                </w:tcPr>
                <w:p w14:paraId="4E06FBE9" w14:textId="3FC736ED"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 xml:space="preserve">Soltura da haste </w:t>
                  </w:r>
                </w:p>
              </w:tc>
              <w:tc>
                <w:tcPr>
                  <w:tcW w:w="1618" w:type="dxa"/>
                  <w:vAlign w:val="bottom"/>
                </w:tcPr>
                <w:p w14:paraId="7CFB046A" w14:textId="3345CE59"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1 (5,0%)</w:t>
                  </w:r>
                </w:p>
              </w:tc>
              <w:tc>
                <w:tcPr>
                  <w:tcW w:w="1621" w:type="dxa"/>
                  <w:vAlign w:val="bottom"/>
                </w:tcPr>
                <w:p w14:paraId="44E5507E" w14:textId="52FD7EC5"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 (0%)</w:t>
                  </w:r>
                </w:p>
              </w:tc>
              <w:tc>
                <w:tcPr>
                  <w:tcW w:w="1621" w:type="dxa"/>
                  <w:vAlign w:val="bottom"/>
                </w:tcPr>
                <w:p w14:paraId="2C4DC086" w14:textId="0953BB2E" w:rsidR="00B27AC9" w:rsidRPr="00B27AC9" w:rsidRDefault="00B27AC9" w:rsidP="00B27AC9">
                  <w:pPr>
                    <w:jc w:val="center"/>
                    <w:rPr>
                      <w:rFonts w:ascii="Arial" w:hAnsi="Arial" w:cs="Arial"/>
                      <w:color w:val="000000"/>
                      <w:sz w:val="20"/>
                      <w:szCs w:val="20"/>
                    </w:rPr>
                  </w:pPr>
                  <w:r>
                    <w:rPr>
                      <w:rFonts w:ascii="Arial" w:hAnsi="Arial" w:cs="Arial"/>
                      <w:color w:val="000000"/>
                      <w:sz w:val="20"/>
                      <w:szCs w:val="20"/>
                    </w:rPr>
                    <w:t>0,571</w:t>
                  </w:r>
                </w:p>
              </w:tc>
            </w:tr>
          </w:tbl>
          <w:p w14:paraId="48AA1C53" w14:textId="77777777" w:rsidR="00B27AC9" w:rsidRPr="00B27AC9" w:rsidRDefault="00B27AC9" w:rsidP="00856516">
            <w:pPr>
              <w:jc w:val="center"/>
              <w:rPr>
                <w:sz w:val="20"/>
                <w:szCs w:val="20"/>
              </w:rPr>
            </w:pPr>
          </w:p>
        </w:tc>
        <w:tc>
          <w:tcPr>
            <w:tcW w:w="1636" w:type="dxa"/>
            <w:gridSpan w:val="2"/>
            <w:tcBorders>
              <w:top w:val="nil"/>
              <w:left w:val="nil"/>
              <w:bottom w:val="nil"/>
              <w:right w:val="nil"/>
            </w:tcBorders>
            <w:shd w:val="clear" w:color="auto" w:fill="auto"/>
            <w:noWrap/>
            <w:vAlign w:val="bottom"/>
            <w:hideMark/>
          </w:tcPr>
          <w:p w14:paraId="410D7FA8" w14:textId="77777777" w:rsidR="00B27AC9" w:rsidRPr="00B27AC9" w:rsidRDefault="00B27AC9" w:rsidP="00856516">
            <w:pPr>
              <w:jc w:val="center"/>
              <w:rPr>
                <w:rFonts w:ascii="Arial" w:hAnsi="Arial" w:cs="Arial"/>
                <w:b/>
                <w:bCs/>
                <w:color w:val="000000"/>
                <w:sz w:val="20"/>
                <w:szCs w:val="20"/>
              </w:rPr>
            </w:pPr>
          </w:p>
        </w:tc>
      </w:tr>
      <w:tr w:rsidR="00B27AC9" w:rsidRPr="00B27AC9" w14:paraId="238AF276" w14:textId="77777777" w:rsidTr="00B27AC9">
        <w:trPr>
          <w:gridAfter w:val="1"/>
          <w:wAfter w:w="1047" w:type="dxa"/>
          <w:trHeight w:val="260"/>
        </w:trPr>
        <w:tc>
          <w:tcPr>
            <w:tcW w:w="5716" w:type="dxa"/>
            <w:tcBorders>
              <w:top w:val="nil"/>
              <w:left w:val="nil"/>
              <w:bottom w:val="nil"/>
              <w:right w:val="nil"/>
            </w:tcBorders>
            <w:shd w:val="clear" w:color="auto" w:fill="auto"/>
            <w:noWrap/>
            <w:vAlign w:val="bottom"/>
            <w:hideMark/>
          </w:tcPr>
          <w:p w14:paraId="56BE462E" w14:textId="00826361" w:rsidR="0070730C" w:rsidRDefault="0070730C" w:rsidP="0070730C">
            <w:pPr>
              <w:rPr>
                <w:rFonts w:ascii="Arial" w:hAnsi="Arial" w:cs="Arial"/>
                <w:sz w:val="20"/>
                <w:szCs w:val="20"/>
              </w:rPr>
            </w:pPr>
            <w:r w:rsidRPr="00B3193D">
              <w:rPr>
                <w:rFonts w:ascii="Arial" w:hAnsi="Arial" w:cs="Arial"/>
                <w:sz w:val="20"/>
                <w:szCs w:val="20"/>
              </w:rPr>
              <w:t>Média (Desvio padrão) / N (%)</w:t>
            </w:r>
          </w:p>
          <w:p w14:paraId="252B3045" w14:textId="5AD33B53" w:rsidR="009B68E3" w:rsidRPr="00B3193D" w:rsidRDefault="009B68E3" w:rsidP="0070730C">
            <w:pPr>
              <w:rPr>
                <w:rFonts w:ascii="Arial" w:hAnsi="Arial" w:cs="Arial"/>
                <w:sz w:val="20"/>
                <w:szCs w:val="20"/>
              </w:rPr>
            </w:pPr>
            <w:r>
              <w:rPr>
                <w:rFonts w:ascii="Arial" w:hAnsi="Arial" w:cs="Arial"/>
                <w:sz w:val="20"/>
                <w:szCs w:val="20"/>
              </w:rPr>
              <w:t>OP: obliquidade pélvica</w:t>
            </w:r>
          </w:p>
          <w:p w14:paraId="5284091E" w14:textId="77777777" w:rsidR="00B27AC9" w:rsidRDefault="00B27AC9" w:rsidP="00856516">
            <w:pPr>
              <w:rPr>
                <w:rFonts w:ascii="Arial" w:hAnsi="Arial" w:cs="Arial"/>
                <w:b/>
                <w:bCs/>
                <w:color w:val="000000"/>
                <w:sz w:val="20"/>
                <w:szCs w:val="20"/>
              </w:rPr>
            </w:pPr>
          </w:p>
          <w:p w14:paraId="7DF5F76A" w14:textId="77777777" w:rsidR="00B27AC9" w:rsidRDefault="00B27AC9" w:rsidP="00856516">
            <w:pPr>
              <w:rPr>
                <w:rFonts w:ascii="Arial" w:hAnsi="Arial" w:cs="Arial"/>
                <w:b/>
                <w:bCs/>
                <w:color w:val="000000"/>
                <w:sz w:val="20"/>
                <w:szCs w:val="20"/>
              </w:rPr>
            </w:pPr>
          </w:p>
          <w:p w14:paraId="24996479" w14:textId="10354198" w:rsidR="00B27AC9" w:rsidRPr="00B27AC9" w:rsidRDefault="00B27AC9" w:rsidP="00856516">
            <w:pPr>
              <w:rPr>
                <w:rFonts w:ascii="Arial" w:hAnsi="Arial" w:cs="Arial"/>
                <w:b/>
                <w:bCs/>
                <w:color w:val="000000"/>
                <w:sz w:val="20"/>
                <w:szCs w:val="20"/>
              </w:rPr>
            </w:pPr>
            <w:r w:rsidRPr="00B27AC9">
              <w:rPr>
                <w:rFonts w:ascii="Arial" w:hAnsi="Arial" w:cs="Arial"/>
                <w:b/>
                <w:bCs/>
                <w:color w:val="000000"/>
                <w:sz w:val="20"/>
                <w:szCs w:val="20"/>
              </w:rPr>
              <w:t>Tabela</w:t>
            </w:r>
            <w:r w:rsidR="001B1F94">
              <w:rPr>
                <w:rFonts w:ascii="Arial" w:hAnsi="Arial" w:cs="Arial"/>
                <w:b/>
                <w:bCs/>
                <w:color w:val="000000"/>
                <w:sz w:val="20"/>
                <w:szCs w:val="20"/>
              </w:rPr>
              <w:t xml:space="preserve"> 5 </w:t>
            </w:r>
            <w:r w:rsidRPr="00B27AC9">
              <w:rPr>
                <w:rFonts w:ascii="Arial" w:hAnsi="Arial" w:cs="Arial"/>
                <w:b/>
                <w:bCs/>
                <w:color w:val="000000"/>
                <w:sz w:val="20"/>
                <w:szCs w:val="20"/>
              </w:rPr>
              <w:t xml:space="preserve">- Obliquidade Pélvica (OP) </w:t>
            </w:r>
            <w:r>
              <w:rPr>
                <w:rFonts w:ascii="Arial" w:hAnsi="Arial" w:cs="Arial"/>
                <w:b/>
                <w:bCs/>
                <w:color w:val="000000"/>
                <w:sz w:val="20"/>
                <w:szCs w:val="20"/>
              </w:rPr>
              <w:t>durante follow-up</w:t>
            </w:r>
          </w:p>
        </w:tc>
        <w:tc>
          <w:tcPr>
            <w:tcW w:w="1636" w:type="dxa"/>
            <w:gridSpan w:val="2"/>
            <w:tcBorders>
              <w:top w:val="nil"/>
              <w:left w:val="nil"/>
              <w:bottom w:val="nil"/>
              <w:right w:val="nil"/>
            </w:tcBorders>
            <w:shd w:val="clear" w:color="auto" w:fill="auto"/>
            <w:noWrap/>
            <w:vAlign w:val="bottom"/>
            <w:hideMark/>
          </w:tcPr>
          <w:p w14:paraId="2BB03FC3" w14:textId="77777777" w:rsidR="00B27AC9" w:rsidRPr="00B27AC9" w:rsidRDefault="00B27AC9" w:rsidP="00856516">
            <w:pPr>
              <w:jc w:val="center"/>
              <w:rPr>
                <w:rFonts w:ascii="Arial" w:hAnsi="Arial" w:cs="Arial"/>
                <w:b/>
                <w:bCs/>
                <w:color w:val="000000"/>
                <w:sz w:val="20"/>
                <w:szCs w:val="20"/>
              </w:rPr>
            </w:pPr>
          </w:p>
        </w:tc>
      </w:tr>
      <w:tr w:rsidR="00B27AC9" w:rsidRPr="00B27AC9" w14:paraId="306C7F48" w14:textId="77777777" w:rsidTr="0070730C">
        <w:trPr>
          <w:trHeight w:val="260"/>
        </w:trPr>
        <w:tc>
          <w:tcPr>
            <w:tcW w:w="6763" w:type="dxa"/>
            <w:gridSpan w:val="2"/>
            <w:tcBorders>
              <w:top w:val="nil"/>
              <w:left w:val="nil"/>
              <w:bottom w:val="nil"/>
              <w:right w:val="nil"/>
            </w:tcBorders>
            <w:shd w:val="clear" w:color="auto" w:fill="auto"/>
            <w:noWrap/>
            <w:vAlign w:val="bottom"/>
            <w:hideMark/>
          </w:tcPr>
          <w:tbl>
            <w:tblPr>
              <w:tblStyle w:val="Tabelacomgrade"/>
              <w:tblpPr w:leftFromText="141" w:rightFromText="141" w:vertAnchor="page" w:horzAnchor="margin" w:tblpY="138"/>
              <w:tblOverlap w:val="never"/>
              <w:tblW w:w="6613" w:type="dxa"/>
              <w:tblLook w:val="04A0" w:firstRow="1" w:lastRow="0" w:firstColumn="1" w:lastColumn="0" w:noHBand="0" w:noVBand="1"/>
            </w:tblPr>
            <w:tblGrid>
              <w:gridCol w:w="1753"/>
              <w:gridCol w:w="1618"/>
              <w:gridCol w:w="1621"/>
              <w:gridCol w:w="1621"/>
            </w:tblGrid>
            <w:tr w:rsidR="00B27AC9" w14:paraId="0DCDE96E" w14:textId="77777777" w:rsidTr="00B27AC9">
              <w:trPr>
                <w:trHeight w:val="199"/>
              </w:trPr>
              <w:tc>
                <w:tcPr>
                  <w:tcW w:w="1753" w:type="dxa"/>
                </w:tcPr>
                <w:p w14:paraId="150F870B" w14:textId="77777777" w:rsidR="00B27AC9" w:rsidRDefault="00B27AC9" w:rsidP="00B27AC9">
                  <w:pPr>
                    <w:jc w:val="center"/>
                    <w:rPr>
                      <w:rFonts w:ascii="Arial" w:hAnsi="Arial" w:cs="Arial"/>
                      <w:b/>
                      <w:bCs/>
                      <w:color w:val="000000"/>
                      <w:sz w:val="20"/>
                      <w:szCs w:val="20"/>
                    </w:rPr>
                  </w:pPr>
                </w:p>
              </w:tc>
              <w:tc>
                <w:tcPr>
                  <w:tcW w:w="1618" w:type="dxa"/>
                </w:tcPr>
                <w:p w14:paraId="0FBC635A" w14:textId="77777777" w:rsidR="00B27AC9" w:rsidRDefault="00B27AC9" w:rsidP="00B27AC9">
                  <w:pPr>
                    <w:jc w:val="center"/>
                    <w:rPr>
                      <w:rFonts w:ascii="Arial" w:hAnsi="Arial" w:cs="Arial"/>
                      <w:b/>
                      <w:bCs/>
                      <w:color w:val="000000"/>
                      <w:sz w:val="20"/>
                      <w:szCs w:val="20"/>
                    </w:rPr>
                  </w:pPr>
                  <w:r w:rsidRPr="00B27AC9">
                    <w:rPr>
                      <w:rFonts w:ascii="Arial" w:hAnsi="Arial" w:cs="Arial"/>
                      <w:b/>
                      <w:bCs/>
                      <w:color w:val="000000"/>
                      <w:sz w:val="20"/>
                      <w:szCs w:val="20"/>
                    </w:rPr>
                    <w:t>Perderam</w:t>
                  </w:r>
                </w:p>
                <w:p w14:paraId="493C2992" w14:textId="77777777" w:rsidR="00B27AC9" w:rsidRDefault="00B27AC9" w:rsidP="00B27AC9">
                  <w:pPr>
                    <w:jc w:val="center"/>
                    <w:rPr>
                      <w:rFonts w:ascii="Arial" w:hAnsi="Arial" w:cs="Arial"/>
                      <w:b/>
                      <w:bCs/>
                      <w:color w:val="000000"/>
                      <w:sz w:val="20"/>
                      <w:szCs w:val="20"/>
                    </w:rPr>
                  </w:pPr>
                  <w:r w:rsidRPr="00B27AC9">
                    <w:rPr>
                      <w:rFonts w:ascii="Arial" w:hAnsi="Arial" w:cs="Arial"/>
                      <w:b/>
                      <w:bCs/>
                      <w:color w:val="000000"/>
                      <w:sz w:val="20"/>
                      <w:szCs w:val="20"/>
                    </w:rPr>
                    <w:t>correção</w:t>
                  </w:r>
                </w:p>
              </w:tc>
              <w:tc>
                <w:tcPr>
                  <w:tcW w:w="1621" w:type="dxa"/>
                </w:tcPr>
                <w:p w14:paraId="24139085" w14:textId="77777777" w:rsidR="00B27AC9" w:rsidRDefault="00B27AC9" w:rsidP="00B27AC9">
                  <w:pPr>
                    <w:jc w:val="center"/>
                    <w:rPr>
                      <w:rFonts w:ascii="Arial" w:hAnsi="Arial" w:cs="Arial"/>
                      <w:b/>
                      <w:bCs/>
                      <w:color w:val="000000"/>
                      <w:sz w:val="20"/>
                      <w:szCs w:val="20"/>
                    </w:rPr>
                  </w:pPr>
                  <w:r w:rsidRPr="00B27AC9">
                    <w:rPr>
                      <w:rFonts w:ascii="Arial" w:hAnsi="Arial" w:cs="Arial"/>
                      <w:b/>
                      <w:bCs/>
                      <w:color w:val="000000"/>
                      <w:sz w:val="20"/>
                      <w:szCs w:val="20"/>
                    </w:rPr>
                    <w:t>Não perderam</w:t>
                  </w:r>
                </w:p>
                <w:p w14:paraId="1D9C06ED" w14:textId="77777777" w:rsidR="00B27AC9" w:rsidRDefault="00B27AC9" w:rsidP="00B27AC9">
                  <w:pPr>
                    <w:jc w:val="center"/>
                    <w:rPr>
                      <w:rFonts w:ascii="Arial" w:hAnsi="Arial" w:cs="Arial"/>
                      <w:b/>
                      <w:bCs/>
                      <w:color w:val="000000"/>
                      <w:sz w:val="20"/>
                      <w:szCs w:val="20"/>
                    </w:rPr>
                  </w:pPr>
                  <w:r w:rsidRPr="00B27AC9">
                    <w:rPr>
                      <w:rFonts w:ascii="Arial" w:hAnsi="Arial" w:cs="Arial"/>
                      <w:b/>
                      <w:bCs/>
                      <w:color w:val="000000"/>
                      <w:sz w:val="20"/>
                      <w:szCs w:val="20"/>
                    </w:rPr>
                    <w:t>correção</w:t>
                  </w:r>
                </w:p>
              </w:tc>
              <w:tc>
                <w:tcPr>
                  <w:tcW w:w="1621" w:type="dxa"/>
                  <w:vAlign w:val="bottom"/>
                </w:tcPr>
                <w:p w14:paraId="05C265F4" w14:textId="77777777" w:rsidR="00B27AC9" w:rsidRDefault="00B27AC9" w:rsidP="00B27AC9">
                  <w:pPr>
                    <w:jc w:val="center"/>
                    <w:rPr>
                      <w:rFonts w:ascii="Arial" w:hAnsi="Arial" w:cs="Arial"/>
                      <w:b/>
                      <w:bCs/>
                      <w:color w:val="000000"/>
                      <w:sz w:val="20"/>
                      <w:szCs w:val="20"/>
                    </w:rPr>
                  </w:pPr>
                  <w:r w:rsidRPr="00B27AC9">
                    <w:rPr>
                      <w:rFonts w:ascii="Arial" w:hAnsi="Arial" w:cs="Arial"/>
                      <w:b/>
                      <w:bCs/>
                      <w:color w:val="000000"/>
                      <w:sz w:val="20"/>
                      <w:szCs w:val="20"/>
                    </w:rPr>
                    <w:t>valor-p</w:t>
                  </w:r>
                </w:p>
              </w:tc>
            </w:tr>
            <w:tr w:rsidR="00B27AC9" w14:paraId="7F1D2472" w14:textId="77777777" w:rsidTr="00B27AC9">
              <w:trPr>
                <w:trHeight w:val="219"/>
              </w:trPr>
              <w:tc>
                <w:tcPr>
                  <w:tcW w:w="1753" w:type="dxa"/>
                  <w:vAlign w:val="bottom"/>
                </w:tcPr>
                <w:p w14:paraId="2F80E5BF" w14:textId="1B927AFB" w:rsidR="00B27AC9" w:rsidRDefault="00B27AC9" w:rsidP="00B27AC9">
                  <w:pPr>
                    <w:jc w:val="center"/>
                    <w:rPr>
                      <w:rFonts w:ascii="Arial" w:hAnsi="Arial" w:cs="Arial"/>
                      <w:b/>
                      <w:bCs/>
                      <w:color w:val="000000"/>
                      <w:sz w:val="20"/>
                      <w:szCs w:val="20"/>
                    </w:rPr>
                  </w:pPr>
                  <w:proofErr w:type="spellStart"/>
                  <w:r w:rsidRPr="00B27AC9">
                    <w:rPr>
                      <w:rFonts w:ascii="Arial" w:hAnsi="Arial" w:cs="Arial"/>
                      <w:color w:val="000000"/>
                      <w:sz w:val="20"/>
                      <w:szCs w:val="20"/>
                    </w:rPr>
                    <w:t>Cobb</w:t>
                  </w:r>
                  <w:proofErr w:type="spellEnd"/>
                  <w:r w:rsidRPr="00B27AC9">
                    <w:rPr>
                      <w:rFonts w:ascii="Arial" w:hAnsi="Arial" w:cs="Arial"/>
                      <w:color w:val="000000"/>
                      <w:sz w:val="20"/>
                      <w:szCs w:val="20"/>
                    </w:rPr>
                    <w:t xml:space="preserve"> pré-op</w:t>
                  </w:r>
                  <w:r>
                    <w:rPr>
                      <w:rFonts w:ascii="Arial" w:hAnsi="Arial" w:cs="Arial"/>
                      <w:color w:val="000000"/>
                      <w:sz w:val="20"/>
                      <w:szCs w:val="20"/>
                    </w:rPr>
                    <w:t>eratório</w:t>
                  </w:r>
                </w:p>
              </w:tc>
              <w:tc>
                <w:tcPr>
                  <w:tcW w:w="1618" w:type="dxa"/>
                  <w:vAlign w:val="bottom"/>
                </w:tcPr>
                <w:p w14:paraId="7EFAA07B"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109,4 (24,0)</w:t>
                  </w:r>
                </w:p>
              </w:tc>
              <w:tc>
                <w:tcPr>
                  <w:tcW w:w="1621" w:type="dxa"/>
                  <w:vAlign w:val="bottom"/>
                </w:tcPr>
                <w:p w14:paraId="6FEB958D"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93,8 (26,3)</w:t>
                  </w:r>
                </w:p>
              </w:tc>
              <w:tc>
                <w:tcPr>
                  <w:tcW w:w="1621" w:type="dxa"/>
                  <w:vAlign w:val="bottom"/>
                </w:tcPr>
                <w:p w14:paraId="3BD540A1"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0,086</w:t>
                  </w:r>
                </w:p>
              </w:tc>
            </w:tr>
            <w:tr w:rsidR="00B27AC9" w14:paraId="6D4CF47E" w14:textId="77777777" w:rsidTr="00B27AC9">
              <w:trPr>
                <w:trHeight w:val="199"/>
              </w:trPr>
              <w:tc>
                <w:tcPr>
                  <w:tcW w:w="1753" w:type="dxa"/>
                  <w:vAlign w:val="bottom"/>
                </w:tcPr>
                <w:p w14:paraId="1C0C1FF4" w14:textId="0A6C4AB1"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OP pré-op</w:t>
                  </w:r>
                  <w:r>
                    <w:rPr>
                      <w:rFonts w:ascii="Arial" w:hAnsi="Arial" w:cs="Arial"/>
                      <w:color w:val="000000"/>
                      <w:sz w:val="20"/>
                      <w:szCs w:val="20"/>
                    </w:rPr>
                    <w:t>eratório</w:t>
                  </w:r>
                </w:p>
              </w:tc>
              <w:tc>
                <w:tcPr>
                  <w:tcW w:w="1618" w:type="dxa"/>
                  <w:vAlign w:val="bottom"/>
                </w:tcPr>
                <w:p w14:paraId="183294E8"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29,2 (10,8)</w:t>
                  </w:r>
                </w:p>
              </w:tc>
              <w:tc>
                <w:tcPr>
                  <w:tcW w:w="1621" w:type="dxa"/>
                  <w:vAlign w:val="bottom"/>
                </w:tcPr>
                <w:p w14:paraId="678743C6"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27,0 (11,1)</w:t>
                  </w:r>
                </w:p>
              </w:tc>
              <w:tc>
                <w:tcPr>
                  <w:tcW w:w="1621" w:type="dxa"/>
                  <w:vAlign w:val="bottom"/>
                </w:tcPr>
                <w:p w14:paraId="4B3FE54F"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0,571</w:t>
                  </w:r>
                </w:p>
              </w:tc>
            </w:tr>
            <w:tr w:rsidR="00B27AC9" w14:paraId="6952894B" w14:textId="77777777" w:rsidTr="00B27AC9">
              <w:trPr>
                <w:trHeight w:val="219"/>
              </w:trPr>
              <w:tc>
                <w:tcPr>
                  <w:tcW w:w="1753" w:type="dxa"/>
                  <w:vAlign w:val="bottom"/>
                </w:tcPr>
                <w:p w14:paraId="3C4C7C16"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 correção OP</w:t>
                  </w:r>
                </w:p>
              </w:tc>
              <w:tc>
                <w:tcPr>
                  <w:tcW w:w="1618" w:type="dxa"/>
                  <w:vAlign w:val="bottom"/>
                </w:tcPr>
                <w:p w14:paraId="5D412AA3"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71,0 (20,3)</w:t>
                  </w:r>
                </w:p>
              </w:tc>
              <w:tc>
                <w:tcPr>
                  <w:tcW w:w="1621" w:type="dxa"/>
                  <w:vAlign w:val="bottom"/>
                </w:tcPr>
                <w:p w14:paraId="280D9678"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62,9 (31,7)</w:t>
                  </w:r>
                </w:p>
              </w:tc>
              <w:tc>
                <w:tcPr>
                  <w:tcW w:w="1621" w:type="dxa"/>
                  <w:vAlign w:val="bottom"/>
                </w:tcPr>
                <w:p w14:paraId="2C52389C"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0,399</w:t>
                  </w:r>
                </w:p>
              </w:tc>
            </w:tr>
            <w:tr w:rsidR="00B27AC9" w14:paraId="114DA6CB" w14:textId="77777777" w:rsidTr="00B27AC9">
              <w:trPr>
                <w:trHeight w:val="199"/>
              </w:trPr>
              <w:tc>
                <w:tcPr>
                  <w:tcW w:w="1753" w:type="dxa"/>
                  <w:vAlign w:val="bottom"/>
                </w:tcPr>
                <w:p w14:paraId="1E69ED2C" w14:textId="77777777" w:rsidR="00B27AC9" w:rsidRPr="00B27AC9" w:rsidRDefault="00B27AC9" w:rsidP="00B27AC9">
                  <w:pPr>
                    <w:jc w:val="center"/>
                    <w:rPr>
                      <w:rFonts w:ascii="Arial" w:hAnsi="Arial" w:cs="Arial"/>
                      <w:b/>
                      <w:bCs/>
                      <w:color w:val="000000"/>
                      <w:sz w:val="20"/>
                      <w:szCs w:val="20"/>
                      <w:lang w:val="en-US"/>
                    </w:rPr>
                  </w:pPr>
                  <w:r w:rsidRPr="00B27AC9">
                    <w:rPr>
                      <w:rFonts w:ascii="Arial" w:hAnsi="Arial" w:cs="Arial"/>
                      <w:color w:val="000000"/>
                      <w:sz w:val="20"/>
                      <w:szCs w:val="20"/>
                      <w:lang w:val="en-US"/>
                    </w:rPr>
                    <w:t>OP final do follow-up</w:t>
                  </w:r>
                </w:p>
              </w:tc>
              <w:tc>
                <w:tcPr>
                  <w:tcW w:w="1618" w:type="dxa"/>
                  <w:vAlign w:val="bottom"/>
                </w:tcPr>
                <w:p w14:paraId="60BC6C2D"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13,8 (6,8)</w:t>
                  </w:r>
                </w:p>
              </w:tc>
              <w:tc>
                <w:tcPr>
                  <w:tcW w:w="1621" w:type="dxa"/>
                  <w:vAlign w:val="bottom"/>
                </w:tcPr>
                <w:p w14:paraId="378EE738"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6,5 (5,6)</w:t>
                  </w:r>
                </w:p>
              </w:tc>
              <w:tc>
                <w:tcPr>
                  <w:tcW w:w="1621" w:type="dxa"/>
                  <w:vAlign w:val="bottom"/>
                </w:tcPr>
                <w:p w14:paraId="00492644"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0,001</w:t>
                  </w:r>
                </w:p>
              </w:tc>
            </w:tr>
            <w:tr w:rsidR="00B27AC9" w14:paraId="31AAA52A" w14:textId="77777777" w:rsidTr="00B27AC9">
              <w:trPr>
                <w:trHeight w:val="219"/>
              </w:trPr>
              <w:tc>
                <w:tcPr>
                  <w:tcW w:w="1753" w:type="dxa"/>
                  <w:vAlign w:val="bottom"/>
                </w:tcPr>
                <w:p w14:paraId="6B04740A"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Comprimento do parafuso de S2 (concavidade)</w:t>
                  </w:r>
                </w:p>
              </w:tc>
              <w:tc>
                <w:tcPr>
                  <w:tcW w:w="1618" w:type="dxa"/>
                  <w:vAlign w:val="bottom"/>
                </w:tcPr>
                <w:p w14:paraId="24E497FB"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71,1 (8,1)</w:t>
                  </w:r>
                </w:p>
              </w:tc>
              <w:tc>
                <w:tcPr>
                  <w:tcW w:w="1621" w:type="dxa"/>
                  <w:vAlign w:val="bottom"/>
                </w:tcPr>
                <w:p w14:paraId="70A736E5"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78,1 (10,5)</w:t>
                  </w:r>
                </w:p>
              </w:tc>
              <w:tc>
                <w:tcPr>
                  <w:tcW w:w="1621" w:type="dxa"/>
                  <w:vAlign w:val="bottom"/>
                </w:tcPr>
                <w:p w14:paraId="59F1F0AB"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0,043</w:t>
                  </w:r>
                </w:p>
              </w:tc>
            </w:tr>
            <w:tr w:rsidR="00B27AC9" w14:paraId="7D15A59F" w14:textId="77777777" w:rsidTr="00B27AC9">
              <w:trPr>
                <w:trHeight w:val="199"/>
              </w:trPr>
              <w:tc>
                <w:tcPr>
                  <w:tcW w:w="1753" w:type="dxa"/>
                  <w:vAlign w:val="bottom"/>
                </w:tcPr>
                <w:p w14:paraId="7A8F1C50"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Comprimento do parafuso de S2 (convexidade)</w:t>
                  </w:r>
                </w:p>
              </w:tc>
              <w:tc>
                <w:tcPr>
                  <w:tcW w:w="1618" w:type="dxa"/>
                  <w:vAlign w:val="bottom"/>
                </w:tcPr>
                <w:p w14:paraId="5F3E2405"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70,7 (7,8)</w:t>
                  </w:r>
                </w:p>
              </w:tc>
              <w:tc>
                <w:tcPr>
                  <w:tcW w:w="1621" w:type="dxa"/>
                  <w:vAlign w:val="bottom"/>
                </w:tcPr>
                <w:p w14:paraId="6DF8B080"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72,5 (18,3)</w:t>
                  </w:r>
                </w:p>
              </w:tc>
              <w:tc>
                <w:tcPr>
                  <w:tcW w:w="1621" w:type="dxa"/>
                  <w:vAlign w:val="bottom"/>
                </w:tcPr>
                <w:p w14:paraId="789812C9"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0,730</w:t>
                  </w:r>
                </w:p>
              </w:tc>
            </w:tr>
            <w:tr w:rsidR="00B27AC9" w14:paraId="072E16D7" w14:textId="77777777" w:rsidTr="00B27AC9">
              <w:trPr>
                <w:trHeight w:val="219"/>
              </w:trPr>
              <w:tc>
                <w:tcPr>
                  <w:tcW w:w="1753" w:type="dxa"/>
                  <w:vAlign w:val="bottom"/>
                </w:tcPr>
                <w:p w14:paraId="427FC7A9"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Quebra da haste</w:t>
                  </w:r>
                </w:p>
              </w:tc>
              <w:tc>
                <w:tcPr>
                  <w:tcW w:w="1618" w:type="dxa"/>
                  <w:vAlign w:val="bottom"/>
                </w:tcPr>
                <w:p w14:paraId="3B1B84D2"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1 (7,1%)</w:t>
                  </w:r>
                </w:p>
              </w:tc>
              <w:tc>
                <w:tcPr>
                  <w:tcW w:w="1621" w:type="dxa"/>
                  <w:vAlign w:val="bottom"/>
                </w:tcPr>
                <w:p w14:paraId="29C351BE" w14:textId="77777777" w:rsidR="00B27AC9" w:rsidRDefault="00B27AC9" w:rsidP="00B27AC9">
                  <w:pPr>
                    <w:jc w:val="center"/>
                    <w:rPr>
                      <w:rFonts w:ascii="Arial" w:hAnsi="Arial" w:cs="Arial"/>
                      <w:b/>
                      <w:bCs/>
                      <w:color w:val="000000"/>
                      <w:sz w:val="20"/>
                      <w:szCs w:val="20"/>
                    </w:rPr>
                  </w:pPr>
                  <w:r w:rsidRPr="00B27AC9">
                    <w:rPr>
                      <w:rFonts w:ascii="Arial" w:hAnsi="Arial" w:cs="Arial"/>
                      <w:color w:val="000000"/>
                      <w:sz w:val="20"/>
                      <w:szCs w:val="20"/>
                    </w:rPr>
                    <w:t>1 (4,8%)</w:t>
                  </w:r>
                </w:p>
              </w:tc>
              <w:tc>
                <w:tcPr>
                  <w:tcW w:w="1621" w:type="dxa"/>
                  <w:vAlign w:val="bottom"/>
                </w:tcPr>
                <w:p w14:paraId="4523BD9D"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0,647</w:t>
                  </w:r>
                </w:p>
              </w:tc>
            </w:tr>
            <w:tr w:rsidR="00B27AC9" w14:paraId="5596D031" w14:textId="77777777" w:rsidTr="00B27AC9">
              <w:trPr>
                <w:trHeight w:val="219"/>
              </w:trPr>
              <w:tc>
                <w:tcPr>
                  <w:tcW w:w="1753" w:type="dxa"/>
                  <w:vAlign w:val="bottom"/>
                </w:tcPr>
                <w:p w14:paraId="0E2EF1AD"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Quebra do parafuso S2-alar-ilíaco</w:t>
                  </w:r>
                </w:p>
              </w:tc>
              <w:tc>
                <w:tcPr>
                  <w:tcW w:w="1618" w:type="dxa"/>
                  <w:vAlign w:val="bottom"/>
                </w:tcPr>
                <w:p w14:paraId="39FA3CD6"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2 (14,3%)</w:t>
                  </w:r>
                </w:p>
              </w:tc>
              <w:tc>
                <w:tcPr>
                  <w:tcW w:w="1621" w:type="dxa"/>
                  <w:vAlign w:val="bottom"/>
                </w:tcPr>
                <w:p w14:paraId="4FFCA00E"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1 (4,8%)</w:t>
                  </w:r>
                </w:p>
              </w:tc>
              <w:tc>
                <w:tcPr>
                  <w:tcW w:w="1621" w:type="dxa"/>
                  <w:vAlign w:val="bottom"/>
                </w:tcPr>
                <w:p w14:paraId="29950969"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0,348</w:t>
                  </w:r>
                </w:p>
              </w:tc>
            </w:tr>
            <w:tr w:rsidR="00B27AC9" w14:paraId="7C981DC5" w14:textId="77777777" w:rsidTr="00B27AC9">
              <w:trPr>
                <w:trHeight w:val="219"/>
              </w:trPr>
              <w:tc>
                <w:tcPr>
                  <w:tcW w:w="1753" w:type="dxa"/>
                  <w:vAlign w:val="bottom"/>
                </w:tcPr>
                <w:p w14:paraId="15BDD9D8"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Soltura da haste</w:t>
                  </w:r>
                </w:p>
              </w:tc>
              <w:tc>
                <w:tcPr>
                  <w:tcW w:w="1618" w:type="dxa"/>
                  <w:vAlign w:val="bottom"/>
                </w:tcPr>
                <w:p w14:paraId="2F5AF87B"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1 (7,1%)</w:t>
                  </w:r>
                </w:p>
              </w:tc>
              <w:tc>
                <w:tcPr>
                  <w:tcW w:w="1621" w:type="dxa"/>
                  <w:vAlign w:val="bottom"/>
                </w:tcPr>
                <w:p w14:paraId="4FFB4553"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 (0%)</w:t>
                  </w:r>
                </w:p>
              </w:tc>
              <w:tc>
                <w:tcPr>
                  <w:tcW w:w="1621" w:type="dxa"/>
                  <w:vAlign w:val="bottom"/>
                </w:tcPr>
                <w:p w14:paraId="759F554B" w14:textId="77777777" w:rsidR="00B27AC9" w:rsidRPr="00B27AC9" w:rsidRDefault="00B27AC9" w:rsidP="00B27AC9">
                  <w:pPr>
                    <w:jc w:val="center"/>
                    <w:rPr>
                      <w:rFonts w:ascii="Arial" w:hAnsi="Arial" w:cs="Arial"/>
                      <w:color w:val="000000"/>
                      <w:sz w:val="20"/>
                      <w:szCs w:val="20"/>
                    </w:rPr>
                  </w:pPr>
                  <w:r w:rsidRPr="00B27AC9">
                    <w:rPr>
                      <w:rFonts w:ascii="Arial" w:hAnsi="Arial" w:cs="Arial"/>
                      <w:color w:val="000000"/>
                      <w:sz w:val="20"/>
                      <w:szCs w:val="20"/>
                    </w:rPr>
                    <w:t>0,400</w:t>
                  </w:r>
                </w:p>
              </w:tc>
            </w:tr>
          </w:tbl>
          <w:p w14:paraId="24844B72" w14:textId="77777777" w:rsidR="00B27AC9" w:rsidRPr="00B27AC9" w:rsidRDefault="00B27AC9" w:rsidP="00856516">
            <w:pPr>
              <w:jc w:val="center"/>
              <w:rPr>
                <w:sz w:val="20"/>
                <w:szCs w:val="20"/>
              </w:rPr>
            </w:pPr>
          </w:p>
        </w:tc>
        <w:tc>
          <w:tcPr>
            <w:tcW w:w="1636" w:type="dxa"/>
            <w:gridSpan w:val="2"/>
            <w:tcBorders>
              <w:top w:val="nil"/>
              <w:left w:val="nil"/>
              <w:bottom w:val="nil"/>
              <w:right w:val="nil"/>
            </w:tcBorders>
            <w:shd w:val="clear" w:color="auto" w:fill="auto"/>
            <w:noWrap/>
            <w:vAlign w:val="bottom"/>
            <w:hideMark/>
          </w:tcPr>
          <w:p w14:paraId="024F1F32" w14:textId="77777777" w:rsidR="00B27AC9" w:rsidRPr="00B27AC9" w:rsidRDefault="00B27AC9" w:rsidP="00856516">
            <w:pPr>
              <w:jc w:val="center"/>
              <w:rPr>
                <w:rFonts w:ascii="Arial" w:hAnsi="Arial" w:cs="Arial"/>
                <w:b/>
                <w:bCs/>
                <w:color w:val="000000"/>
                <w:sz w:val="20"/>
                <w:szCs w:val="20"/>
              </w:rPr>
            </w:pPr>
          </w:p>
        </w:tc>
      </w:tr>
    </w:tbl>
    <w:p w14:paraId="34970CDC" w14:textId="230E242C" w:rsidR="00B27AC9" w:rsidRDefault="0070730C">
      <w:r w:rsidRPr="000D0F13">
        <w:rPr>
          <w:rFonts w:ascii="Arial" w:hAnsi="Arial" w:cs="Arial"/>
          <w:sz w:val="20"/>
          <w:szCs w:val="20"/>
        </w:rPr>
        <w:t>Média (Desvio padrão</w:t>
      </w:r>
      <w:r>
        <w:rPr>
          <w:rFonts w:ascii="Arial" w:hAnsi="Arial" w:cs="Arial"/>
          <w:sz w:val="20"/>
          <w:szCs w:val="20"/>
        </w:rPr>
        <w:t>)</w:t>
      </w:r>
    </w:p>
    <w:sectPr w:rsidR="00B27AC9" w:rsidSect="00247B6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F7C4F"/>
    <w:multiLevelType w:val="hybridMultilevel"/>
    <w:tmpl w:val="C65422F4"/>
    <w:lvl w:ilvl="0" w:tplc="04160001">
      <w:start w:val="1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27E1D48"/>
    <w:multiLevelType w:val="multilevel"/>
    <w:tmpl w:val="01AC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4439D"/>
    <w:multiLevelType w:val="multilevel"/>
    <w:tmpl w:val="52E8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C9"/>
    <w:rsid w:val="00090738"/>
    <w:rsid w:val="000D0F13"/>
    <w:rsid w:val="0013613C"/>
    <w:rsid w:val="0019606E"/>
    <w:rsid w:val="001B1F94"/>
    <w:rsid w:val="001F29C2"/>
    <w:rsid w:val="00210F55"/>
    <w:rsid w:val="002339DB"/>
    <w:rsid w:val="00247B6D"/>
    <w:rsid w:val="003B7C54"/>
    <w:rsid w:val="0070730C"/>
    <w:rsid w:val="00714786"/>
    <w:rsid w:val="008B3701"/>
    <w:rsid w:val="00930324"/>
    <w:rsid w:val="0095715C"/>
    <w:rsid w:val="009B68E3"/>
    <w:rsid w:val="00B27AC9"/>
    <w:rsid w:val="00B3193D"/>
    <w:rsid w:val="00C85539"/>
    <w:rsid w:val="00D37FA4"/>
    <w:rsid w:val="00D72EC7"/>
    <w:rsid w:val="00DD4F04"/>
    <w:rsid w:val="00DD5396"/>
    <w:rsid w:val="00DD65D2"/>
    <w:rsid w:val="00E95CC9"/>
    <w:rsid w:val="00EA5F33"/>
    <w:rsid w:val="00ED13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EDC7"/>
  <w15:chartTrackingRefBased/>
  <w15:docId w15:val="{DD4AD39F-BE77-5246-9885-71766A20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C9"/>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2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7AC9"/>
    <w:pPr>
      <w:spacing w:before="100" w:beforeAutospacing="1" w:after="100" w:afterAutospacing="1"/>
    </w:pPr>
  </w:style>
  <w:style w:type="character" w:customStyle="1" w:styleId="apple-tab-span">
    <w:name w:val="apple-tab-span"/>
    <w:basedOn w:val="Fontepargpadro"/>
    <w:rsid w:val="00B27AC9"/>
  </w:style>
  <w:style w:type="paragraph" w:styleId="PargrafodaLista">
    <w:name w:val="List Paragraph"/>
    <w:basedOn w:val="Normal"/>
    <w:uiPriority w:val="34"/>
    <w:qFormat/>
    <w:rsid w:val="00B31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395">
      <w:bodyDiv w:val="1"/>
      <w:marLeft w:val="0"/>
      <w:marRight w:val="0"/>
      <w:marTop w:val="0"/>
      <w:marBottom w:val="0"/>
      <w:divBdr>
        <w:top w:val="none" w:sz="0" w:space="0" w:color="auto"/>
        <w:left w:val="none" w:sz="0" w:space="0" w:color="auto"/>
        <w:bottom w:val="none" w:sz="0" w:space="0" w:color="auto"/>
        <w:right w:val="none" w:sz="0" w:space="0" w:color="auto"/>
      </w:divBdr>
    </w:div>
    <w:div w:id="511383748">
      <w:bodyDiv w:val="1"/>
      <w:marLeft w:val="0"/>
      <w:marRight w:val="0"/>
      <w:marTop w:val="0"/>
      <w:marBottom w:val="0"/>
      <w:divBdr>
        <w:top w:val="none" w:sz="0" w:space="0" w:color="auto"/>
        <w:left w:val="none" w:sz="0" w:space="0" w:color="auto"/>
        <w:bottom w:val="none" w:sz="0" w:space="0" w:color="auto"/>
        <w:right w:val="none" w:sz="0" w:space="0" w:color="auto"/>
      </w:divBdr>
    </w:div>
    <w:div w:id="729688368">
      <w:bodyDiv w:val="1"/>
      <w:marLeft w:val="0"/>
      <w:marRight w:val="0"/>
      <w:marTop w:val="0"/>
      <w:marBottom w:val="0"/>
      <w:divBdr>
        <w:top w:val="none" w:sz="0" w:space="0" w:color="auto"/>
        <w:left w:val="none" w:sz="0" w:space="0" w:color="auto"/>
        <w:bottom w:val="none" w:sz="0" w:space="0" w:color="auto"/>
        <w:right w:val="none" w:sz="0" w:space="0" w:color="auto"/>
      </w:divBdr>
    </w:div>
    <w:div w:id="864249319">
      <w:bodyDiv w:val="1"/>
      <w:marLeft w:val="0"/>
      <w:marRight w:val="0"/>
      <w:marTop w:val="0"/>
      <w:marBottom w:val="0"/>
      <w:divBdr>
        <w:top w:val="none" w:sz="0" w:space="0" w:color="auto"/>
        <w:left w:val="none" w:sz="0" w:space="0" w:color="auto"/>
        <w:bottom w:val="none" w:sz="0" w:space="0" w:color="auto"/>
        <w:right w:val="none" w:sz="0" w:space="0" w:color="auto"/>
      </w:divBdr>
    </w:div>
    <w:div w:id="889457358">
      <w:bodyDiv w:val="1"/>
      <w:marLeft w:val="0"/>
      <w:marRight w:val="0"/>
      <w:marTop w:val="0"/>
      <w:marBottom w:val="0"/>
      <w:divBdr>
        <w:top w:val="none" w:sz="0" w:space="0" w:color="auto"/>
        <w:left w:val="none" w:sz="0" w:space="0" w:color="auto"/>
        <w:bottom w:val="none" w:sz="0" w:space="0" w:color="auto"/>
        <w:right w:val="none" w:sz="0" w:space="0" w:color="auto"/>
      </w:divBdr>
    </w:div>
    <w:div w:id="1100299875">
      <w:bodyDiv w:val="1"/>
      <w:marLeft w:val="0"/>
      <w:marRight w:val="0"/>
      <w:marTop w:val="0"/>
      <w:marBottom w:val="0"/>
      <w:divBdr>
        <w:top w:val="none" w:sz="0" w:space="0" w:color="auto"/>
        <w:left w:val="none" w:sz="0" w:space="0" w:color="auto"/>
        <w:bottom w:val="none" w:sz="0" w:space="0" w:color="auto"/>
        <w:right w:val="none" w:sz="0" w:space="0" w:color="auto"/>
      </w:divBdr>
    </w:div>
    <w:div w:id="1526363316">
      <w:bodyDiv w:val="1"/>
      <w:marLeft w:val="0"/>
      <w:marRight w:val="0"/>
      <w:marTop w:val="0"/>
      <w:marBottom w:val="0"/>
      <w:divBdr>
        <w:top w:val="none" w:sz="0" w:space="0" w:color="auto"/>
        <w:left w:val="none" w:sz="0" w:space="0" w:color="auto"/>
        <w:bottom w:val="none" w:sz="0" w:space="0" w:color="auto"/>
        <w:right w:val="none" w:sz="0" w:space="0" w:color="auto"/>
      </w:divBdr>
    </w:div>
    <w:div w:id="17129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18</Pages>
  <Words>4018</Words>
  <Characters>21701</Characters>
  <Application>Microsoft Office Word</Application>
  <DocSecurity>0</DocSecurity>
  <Lines>180</Lines>
  <Paragraphs>51</Paragraphs>
  <ScaleCrop>false</ScaleCrop>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Claudionor Segundo</dc:creator>
  <cp:keywords/>
  <dc:description/>
  <cp:lastModifiedBy>Claudionor Segundo</cp:lastModifiedBy>
  <cp:revision>25</cp:revision>
  <dcterms:created xsi:type="dcterms:W3CDTF">2022-02-19T23:25:00Z</dcterms:created>
  <dcterms:modified xsi:type="dcterms:W3CDTF">2022-02-20T02:29:00Z</dcterms:modified>
</cp:coreProperties>
</file>