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F03BA" w:rsidRPr="002F03BA" w:rsidRDefault="002F03BA" w:rsidP="002F03BA">
      <w:pPr>
        <w:spacing w:before="100" w:beforeAutospacing="1" w:after="100" w:afterAutospacing="1"/>
        <w:rPr>
          <w:rFonts w:ascii="Times New Roman" w:eastAsia="Times New Roman" w:hAnsi="Times New Roman" w:cs="Times New Roman"/>
          <w:lang w:eastAsia="pt-BR"/>
        </w:rPr>
      </w:pPr>
      <w:r w:rsidRPr="002F03BA">
        <w:rPr>
          <w:rFonts w:ascii="Arial" w:eastAsia="Times New Roman" w:hAnsi="Arial" w:cs="Arial"/>
          <w:b/>
          <w:bCs/>
          <w:color w:val="282828"/>
          <w:shd w:val="clear" w:color="auto" w:fill="FFFFFF"/>
          <w:lang w:eastAsia="pt-BR"/>
        </w:rPr>
        <w:t>HEMORRAGIA SUBARACNÓIDEA INTRA</w:t>
      </w:r>
      <w:r w:rsidR="00CD77D0">
        <w:rPr>
          <w:rFonts w:ascii="Arial" w:eastAsia="Times New Roman" w:hAnsi="Arial" w:cs="Arial"/>
          <w:b/>
          <w:bCs/>
          <w:color w:val="282828"/>
          <w:shd w:val="clear" w:color="auto" w:fill="FFFFFF"/>
          <w:lang w:eastAsia="pt-BR"/>
        </w:rPr>
        <w:t>-</w:t>
      </w:r>
      <w:r w:rsidRPr="002F03BA">
        <w:rPr>
          <w:rFonts w:ascii="Arial" w:eastAsia="Times New Roman" w:hAnsi="Arial" w:cs="Arial"/>
          <w:b/>
          <w:bCs/>
          <w:color w:val="282828"/>
          <w:shd w:val="clear" w:color="auto" w:fill="FFFFFF"/>
          <w:lang w:eastAsia="pt-BR"/>
        </w:rPr>
        <w:t xml:space="preserve">CRANIANA ESPONTÂNEA NO PÓS OPERATÓRIO DE CIRURGIA TOTALMENTE ENDOSCÓPICA DA COLUNA CERVICAL – RELATO DE CASO E REVISÃO DA LITERATURA </w:t>
      </w:r>
    </w:p>
    <w:p w:rsidR="002F03BA" w:rsidRPr="002F03BA" w:rsidRDefault="002F03BA" w:rsidP="002F03BA">
      <w:pPr>
        <w:spacing w:before="100" w:beforeAutospacing="1" w:after="100" w:afterAutospacing="1"/>
        <w:rPr>
          <w:rFonts w:ascii="Times New Roman" w:eastAsia="Times New Roman" w:hAnsi="Times New Roman" w:cs="Times New Roman"/>
          <w:lang w:val="en-US" w:eastAsia="pt-BR"/>
        </w:rPr>
      </w:pPr>
      <w:r w:rsidRPr="002F03BA">
        <w:rPr>
          <w:rFonts w:ascii="Arial" w:eastAsia="Times New Roman" w:hAnsi="Arial" w:cs="Arial"/>
          <w:b/>
          <w:bCs/>
          <w:color w:val="282828"/>
          <w:shd w:val="clear" w:color="auto" w:fill="FFFFFF"/>
          <w:lang w:val="en-US" w:eastAsia="pt-BR"/>
        </w:rPr>
        <w:t xml:space="preserve">Post-Operative Intra Cranial Subarachnoid Hemorrhage after Full Endoscopic Cervical Spine Decompression - Case Report and Literature Review </w:t>
      </w:r>
    </w:p>
    <w:p w:rsidR="002F03BA" w:rsidRPr="002F03BA" w:rsidRDefault="002F03BA" w:rsidP="002F03BA">
      <w:pPr>
        <w:spacing w:before="100" w:beforeAutospacing="1" w:after="100" w:afterAutospacing="1"/>
        <w:rPr>
          <w:rFonts w:ascii="Times New Roman" w:eastAsia="Times New Roman" w:hAnsi="Times New Roman" w:cs="Times New Roman"/>
          <w:lang w:eastAsia="pt-BR"/>
        </w:rPr>
      </w:pPr>
      <w:bookmarkStart w:id="0" w:name="_GoBack"/>
      <w:bookmarkEnd w:id="0"/>
      <w:r w:rsidRPr="002F03BA">
        <w:rPr>
          <w:rFonts w:ascii="Arial" w:eastAsia="Times New Roman" w:hAnsi="Arial" w:cs="Arial"/>
          <w:b/>
          <w:bCs/>
          <w:color w:val="282828"/>
          <w:sz w:val="20"/>
          <w:szCs w:val="20"/>
          <w:shd w:val="clear" w:color="auto" w:fill="FFFFFF"/>
          <w:lang w:eastAsia="pt-BR"/>
        </w:rPr>
        <w:t xml:space="preserve">Resumo: </w:t>
      </w:r>
    </w:p>
    <w:p w:rsidR="002F03BA" w:rsidRPr="002F03BA" w:rsidRDefault="002F03BA" w:rsidP="001100D4">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A doença degenerativa da coluna cervical pode evoluir com síndromes mielo</w:t>
      </w:r>
      <w:r w:rsidR="001100D4">
        <w:rPr>
          <w:rFonts w:ascii="ArialMT" w:eastAsia="Times New Roman" w:hAnsi="ArialMT" w:cs="Times New Roman"/>
          <w:color w:val="282828"/>
          <w:sz w:val="20"/>
          <w:szCs w:val="20"/>
          <w:shd w:val="clear" w:color="auto" w:fill="FFFFFF"/>
          <w:lang w:eastAsia="pt-BR"/>
        </w:rPr>
        <w:t>-</w:t>
      </w:r>
      <w:r w:rsidRPr="002F03BA">
        <w:rPr>
          <w:rFonts w:ascii="ArialMT" w:eastAsia="Times New Roman" w:hAnsi="ArialMT" w:cs="Times New Roman"/>
          <w:color w:val="282828"/>
          <w:sz w:val="20"/>
          <w:szCs w:val="20"/>
          <w:shd w:val="clear" w:color="auto" w:fill="FFFFFF"/>
          <w:lang w:eastAsia="pt-BR"/>
        </w:rPr>
        <w:t>radiculares graves. Nos casos de dores intratáveis e ou na presença de déficits neurológicos a intervenção cirúrgica pode ser necessária. Diversas</w:t>
      </w:r>
      <w:r w:rsidR="001100D4">
        <w:rPr>
          <w:rFonts w:ascii="ArialMT" w:eastAsia="Times New Roman" w:hAnsi="ArialMT" w:cs="Times New Roman"/>
          <w:color w:val="282828"/>
          <w:sz w:val="20"/>
          <w:szCs w:val="20"/>
          <w:shd w:val="clear" w:color="auto" w:fill="FFFFFF"/>
          <w:lang w:eastAsia="pt-BR"/>
        </w:rPr>
        <w:t xml:space="preserve"> </w:t>
      </w:r>
      <w:r w:rsidRPr="002F03BA">
        <w:rPr>
          <w:rFonts w:ascii="ArialMT" w:eastAsia="Times New Roman" w:hAnsi="ArialMT" w:cs="Times New Roman"/>
          <w:color w:val="282828"/>
          <w:sz w:val="20"/>
          <w:szCs w:val="20"/>
          <w:shd w:val="clear" w:color="auto" w:fill="FFFFFF"/>
          <w:lang w:eastAsia="pt-BR"/>
        </w:rPr>
        <w:t xml:space="preserve">técnicas cirúrgicas são descritas no seu tratamento. Recentemente a descompressão posterior por via totalmente endoscópica tem se tornado uma excelente opção de tratamento para os casos que evoluem com síndrome radicular refratária. O presente artigo faz uma breve revisão da literatura e relata o caso de uma paciente </w:t>
      </w:r>
      <w:r w:rsidR="00390A5F">
        <w:rPr>
          <w:rFonts w:ascii="ArialMT" w:eastAsia="Times New Roman" w:hAnsi="ArialMT" w:cs="Times New Roman"/>
          <w:color w:val="282828"/>
          <w:sz w:val="20"/>
          <w:szCs w:val="20"/>
          <w:shd w:val="clear" w:color="auto" w:fill="FFFFFF"/>
          <w:lang w:eastAsia="pt-BR"/>
        </w:rPr>
        <w:t xml:space="preserve">do sexo </w:t>
      </w:r>
      <w:r w:rsidRPr="002F03BA">
        <w:rPr>
          <w:rFonts w:ascii="ArialMT" w:eastAsia="Times New Roman" w:hAnsi="ArialMT" w:cs="Times New Roman"/>
          <w:color w:val="282828"/>
          <w:sz w:val="20"/>
          <w:szCs w:val="20"/>
          <w:shd w:val="clear" w:color="auto" w:fill="FFFFFF"/>
          <w:lang w:eastAsia="pt-BR"/>
        </w:rPr>
        <w:t>feminin</w:t>
      </w:r>
      <w:r w:rsidR="00390A5F">
        <w:rPr>
          <w:rFonts w:ascii="ArialMT" w:eastAsia="Times New Roman" w:hAnsi="ArialMT" w:cs="Times New Roman"/>
          <w:color w:val="282828"/>
          <w:sz w:val="20"/>
          <w:szCs w:val="20"/>
          <w:shd w:val="clear" w:color="auto" w:fill="FFFFFF"/>
          <w:lang w:eastAsia="pt-BR"/>
        </w:rPr>
        <w:t>o de</w:t>
      </w:r>
      <w:r w:rsidRPr="002F03BA">
        <w:rPr>
          <w:rFonts w:ascii="ArialMT" w:eastAsia="Times New Roman" w:hAnsi="ArialMT" w:cs="Times New Roman"/>
          <w:color w:val="282828"/>
          <w:sz w:val="20"/>
          <w:szCs w:val="20"/>
          <w:shd w:val="clear" w:color="auto" w:fill="FFFFFF"/>
          <w:lang w:eastAsia="pt-BR"/>
        </w:rPr>
        <w:t xml:space="preserve"> 52 ano</w:t>
      </w:r>
      <w:r w:rsidR="00390A5F">
        <w:rPr>
          <w:rFonts w:ascii="ArialMT" w:eastAsia="Times New Roman" w:hAnsi="ArialMT" w:cs="Times New Roman"/>
          <w:color w:val="282828"/>
          <w:sz w:val="20"/>
          <w:szCs w:val="20"/>
          <w:shd w:val="clear" w:color="auto" w:fill="FFFFFF"/>
          <w:lang w:eastAsia="pt-BR"/>
        </w:rPr>
        <w:t>s</w:t>
      </w:r>
      <w:r w:rsidRPr="002F03BA">
        <w:rPr>
          <w:rFonts w:ascii="ArialMT" w:eastAsia="Times New Roman" w:hAnsi="ArialMT" w:cs="Times New Roman"/>
          <w:color w:val="282828"/>
          <w:sz w:val="20"/>
          <w:szCs w:val="20"/>
          <w:shd w:val="clear" w:color="auto" w:fill="FFFFFF"/>
          <w:lang w:eastAsia="pt-BR"/>
        </w:rPr>
        <w:t xml:space="preserve"> com quadro de c</w:t>
      </w:r>
      <w:r w:rsidR="00390A5F">
        <w:rPr>
          <w:rFonts w:ascii="ArialMT" w:eastAsia="Times New Roman" w:hAnsi="ArialMT" w:cs="Times New Roman"/>
          <w:color w:val="282828"/>
          <w:sz w:val="20"/>
          <w:szCs w:val="20"/>
          <w:shd w:val="clear" w:color="auto" w:fill="FFFFFF"/>
          <w:lang w:eastAsia="pt-BR"/>
        </w:rPr>
        <w:t>é</w:t>
      </w:r>
      <w:r w:rsidRPr="002F03BA">
        <w:rPr>
          <w:rFonts w:ascii="ArialMT" w:eastAsia="Times New Roman" w:hAnsi="ArialMT" w:cs="Times New Roman"/>
          <w:color w:val="282828"/>
          <w:sz w:val="20"/>
          <w:szCs w:val="20"/>
          <w:shd w:val="clear" w:color="auto" w:fill="FFFFFF"/>
          <w:lang w:eastAsia="pt-BR"/>
        </w:rPr>
        <w:t xml:space="preserve">rvico-braquialgia </w:t>
      </w:r>
      <w:r w:rsidR="00390A5F">
        <w:rPr>
          <w:rFonts w:ascii="ArialMT" w:eastAsia="Times New Roman" w:hAnsi="ArialMT" w:cs="Times New Roman"/>
          <w:color w:val="282828"/>
          <w:sz w:val="20"/>
          <w:szCs w:val="20"/>
          <w:shd w:val="clear" w:color="auto" w:fill="FFFFFF"/>
          <w:lang w:eastAsia="pt-BR"/>
        </w:rPr>
        <w:t>à</w:t>
      </w:r>
      <w:r w:rsidRPr="002F03BA">
        <w:rPr>
          <w:rFonts w:ascii="ArialMT" w:eastAsia="Times New Roman" w:hAnsi="ArialMT" w:cs="Times New Roman"/>
          <w:color w:val="282828"/>
          <w:sz w:val="20"/>
          <w:szCs w:val="20"/>
          <w:shd w:val="clear" w:color="auto" w:fill="FFFFFF"/>
          <w:lang w:eastAsia="pt-BR"/>
        </w:rPr>
        <w:t xml:space="preserve"> esquerda, associada a déficit sensitivo </w:t>
      </w:r>
      <w:r w:rsidR="00390A5F">
        <w:rPr>
          <w:rFonts w:ascii="ArialMT" w:eastAsia="Times New Roman" w:hAnsi="ArialMT" w:cs="Times New Roman"/>
          <w:color w:val="282828"/>
          <w:sz w:val="20"/>
          <w:szCs w:val="20"/>
          <w:shd w:val="clear" w:color="auto" w:fill="FFFFFF"/>
          <w:lang w:eastAsia="pt-BR"/>
        </w:rPr>
        <w:t xml:space="preserve">e </w:t>
      </w:r>
      <w:r w:rsidRPr="002F03BA">
        <w:rPr>
          <w:rFonts w:ascii="ArialMT" w:eastAsia="Times New Roman" w:hAnsi="ArialMT" w:cs="Times New Roman"/>
          <w:color w:val="282828"/>
          <w:sz w:val="20"/>
          <w:szCs w:val="20"/>
          <w:shd w:val="clear" w:color="auto" w:fill="FFFFFF"/>
          <w:lang w:eastAsia="pt-BR"/>
        </w:rPr>
        <w:t xml:space="preserve">motor da raiz de C7, secundária a hérnia de disco cervical C6-7. No intra operatório </w:t>
      </w:r>
      <w:r w:rsidR="00390A5F">
        <w:rPr>
          <w:rFonts w:ascii="ArialMT" w:eastAsia="Times New Roman" w:hAnsi="ArialMT" w:cs="Times New Roman"/>
          <w:color w:val="282828"/>
          <w:sz w:val="20"/>
          <w:szCs w:val="20"/>
          <w:shd w:val="clear" w:color="auto" w:fill="FFFFFF"/>
          <w:lang w:eastAsia="pt-BR"/>
        </w:rPr>
        <w:t xml:space="preserve">foi </w:t>
      </w:r>
      <w:r w:rsidRPr="002F03BA">
        <w:rPr>
          <w:rFonts w:ascii="ArialMT" w:eastAsia="Times New Roman" w:hAnsi="ArialMT" w:cs="Times New Roman"/>
          <w:color w:val="282828"/>
          <w:sz w:val="20"/>
          <w:szCs w:val="20"/>
          <w:shd w:val="clear" w:color="auto" w:fill="FFFFFF"/>
          <w:lang w:eastAsia="pt-BR"/>
        </w:rPr>
        <w:t>evidenciad</w:t>
      </w:r>
      <w:r w:rsidR="00390A5F">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 pequena lesão de dura mater. No pós-operatório imediato paciente apresentou melhora importante da dor radicular, entretanto </w:t>
      </w:r>
      <w:r w:rsidR="00390A5F">
        <w:rPr>
          <w:rFonts w:ascii="ArialMT" w:eastAsia="Times New Roman" w:hAnsi="ArialMT" w:cs="Times New Roman"/>
          <w:color w:val="282828"/>
          <w:sz w:val="20"/>
          <w:szCs w:val="20"/>
          <w:shd w:val="clear" w:color="auto" w:fill="FFFFFF"/>
          <w:lang w:eastAsia="pt-BR"/>
        </w:rPr>
        <w:t>teve</w:t>
      </w:r>
      <w:r w:rsidRPr="002F03BA">
        <w:rPr>
          <w:rFonts w:ascii="ArialMT" w:eastAsia="Times New Roman" w:hAnsi="ArialMT" w:cs="Times New Roman"/>
          <w:color w:val="282828"/>
          <w:sz w:val="20"/>
          <w:szCs w:val="20"/>
          <w:shd w:val="clear" w:color="auto" w:fill="FFFFFF"/>
          <w:lang w:eastAsia="pt-BR"/>
        </w:rPr>
        <w:t xml:space="preserve"> queixa de cefaleia e diplopia. Ao exame físico apresentava paresia do músculo reto lateral direito denotando um provável acometimento do nervo abducente. Submetida a exame de tomografia de crânio que evidenciou extensa hemorragia subaracnóidea, com inundação ventricular e hidrocefalia. </w:t>
      </w:r>
      <w:r w:rsidR="00390A5F">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 investigação vascular intracraniana descartou a possibilidade de aneurismas ou malformações vasculares. A despeito da gravidade do quadro, paciente apresentou boa evolução cl</w:t>
      </w:r>
      <w:r w:rsidR="00390A5F">
        <w:rPr>
          <w:rFonts w:ascii="ArialMT" w:eastAsia="Times New Roman" w:hAnsi="ArialMT" w:cs="Times New Roman"/>
          <w:color w:val="282828"/>
          <w:sz w:val="20"/>
          <w:szCs w:val="20"/>
          <w:shd w:val="clear" w:color="auto" w:fill="FFFFFF"/>
          <w:lang w:eastAsia="pt-BR"/>
        </w:rPr>
        <w:t>í</w:t>
      </w:r>
      <w:r w:rsidRPr="002F03BA">
        <w:rPr>
          <w:rFonts w:ascii="ArialMT" w:eastAsia="Times New Roman" w:hAnsi="ArialMT" w:cs="Times New Roman"/>
          <w:color w:val="282828"/>
          <w:sz w:val="20"/>
          <w:szCs w:val="20"/>
          <w:shd w:val="clear" w:color="auto" w:fill="FFFFFF"/>
          <w:lang w:eastAsia="pt-BR"/>
        </w:rPr>
        <w:t>nica, sem novas intercorrências ou necessidade de intervenção cirúrgica. O presente artigo discute as complicações apresentadas, assim c</w:t>
      </w:r>
      <w:r w:rsidR="00390A5F">
        <w:rPr>
          <w:rFonts w:ascii="ArialMT" w:eastAsia="Times New Roman" w:hAnsi="ArialMT" w:cs="Times New Roman"/>
          <w:color w:val="282828"/>
          <w:sz w:val="20"/>
          <w:szCs w:val="20"/>
          <w:shd w:val="clear" w:color="auto" w:fill="FFFFFF"/>
          <w:lang w:eastAsia="pt-BR"/>
        </w:rPr>
        <w:t>omo</w:t>
      </w:r>
      <w:r w:rsidRPr="002F03BA">
        <w:rPr>
          <w:rFonts w:ascii="ArialMT" w:eastAsia="Times New Roman" w:hAnsi="ArialMT" w:cs="Times New Roman"/>
          <w:color w:val="282828"/>
          <w:sz w:val="20"/>
          <w:szCs w:val="20"/>
          <w:shd w:val="clear" w:color="auto" w:fill="FFFFFF"/>
          <w:lang w:eastAsia="pt-BR"/>
        </w:rPr>
        <w:t xml:space="preserve"> uma revisão da literatura sobre a cirurgia totalmente endoscópica da coluna cervical. </w:t>
      </w:r>
    </w:p>
    <w:p w:rsidR="002F03BA" w:rsidRPr="002F03BA" w:rsidRDefault="002F03BA" w:rsidP="002F03BA">
      <w:pPr>
        <w:spacing w:before="100" w:beforeAutospacing="1" w:after="100" w:afterAutospacing="1"/>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 xml:space="preserve">Palavras-chave: </w:t>
      </w:r>
      <w:r w:rsidRPr="002F03BA">
        <w:rPr>
          <w:rFonts w:ascii="Arial" w:eastAsia="Times New Roman" w:hAnsi="Arial" w:cs="Arial"/>
          <w:b/>
          <w:bCs/>
          <w:color w:val="282828"/>
          <w:sz w:val="20"/>
          <w:szCs w:val="20"/>
          <w:shd w:val="clear" w:color="auto" w:fill="FFFFFF"/>
          <w:lang w:eastAsia="pt-BR"/>
        </w:rPr>
        <w:t xml:space="preserve">endoscopia de coluna, pressão hidrostática, fístula liquórica, hemorragia subaracnóide, hemorragia subaracnóidea, lesão de dura máter, nervo abducente, diplopia, hérnia de disco. </w:t>
      </w:r>
    </w:p>
    <w:p w:rsidR="002F03BA" w:rsidRPr="002F03BA" w:rsidRDefault="002F03BA" w:rsidP="002F03BA">
      <w:pPr>
        <w:spacing w:before="100" w:beforeAutospacing="1" w:after="100" w:afterAutospacing="1"/>
        <w:rPr>
          <w:rFonts w:ascii="Times New Roman" w:eastAsia="Times New Roman" w:hAnsi="Times New Roman" w:cs="Times New Roman"/>
          <w:lang w:eastAsia="pt-BR"/>
        </w:rPr>
      </w:pPr>
      <w:r w:rsidRPr="002F03BA">
        <w:rPr>
          <w:rFonts w:ascii="ArialMT" w:eastAsia="Times New Roman" w:hAnsi="ArialMT" w:cs="Times New Roman"/>
          <w:lang w:eastAsia="pt-BR"/>
        </w:rPr>
        <w:t xml:space="preserve">INTRODUÇÃO </w:t>
      </w:r>
    </w:p>
    <w:p w:rsidR="002F03BA" w:rsidRPr="002F03BA" w:rsidRDefault="002F03BA" w:rsidP="00390A5F">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A discopatia degenerativa cervical é uma patologia extremamente comum e frequentemente associada às síndromes radiculares.</w:t>
      </w:r>
      <w:r w:rsidRPr="002F03BA">
        <w:rPr>
          <w:rFonts w:ascii="ArialMT" w:eastAsia="Times New Roman" w:hAnsi="ArialMT" w:cs="Times New Roman"/>
          <w:position w:val="8"/>
          <w:sz w:val="12"/>
          <w:szCs w:val="12"/>
          <w:lang w:eastAsia="pt-BR"/>
        </w:rPr>
        <w:t xml:space="preserve">1 </w:t>
      </w:r>
      <w:r w:rsidRPr="002F03BA">
        <w:rPr>
          <w:rFonts w:ascii="ArialMT" w:eastAsia="Times New Roman" w:hAnsi="ArialMT" w:cs="Times New Roman"/>
          <w:sz w:val="20"/>
          <w:szCs w:val="20"/>
          <w:lang w:eastAsia="pt-BR"/>
        </w:rPr>
        <w:t xml:space="preserve">Sua etiologia é </w:t>
      </w:r>
      <w:r w:rsidR="00392856">
        <w:rPr>
          <w:rFonts w:ascii="ArialMT" w:eastAsia="Times New Roman" w:hAnsi="ArialMT" w:cs="Times New Roman"/>
          <w:sz w:val="20"/>
          <w:szCs w:val="20"/>
          <w:lang w:eastAsia="pt-BR"/>
        </w:rPr>
        <w:t>variada</w:t>
      </w:r>
      <w:r w:rsidRPr="002F03BA">
        <w:rPr>
          <w:rFonts w:ascii="ArialMT" w:eastAsia="Times New Roman" w:hAnsi="ArialMT" w:cs="Times New Roman"/>
          <w:sz w:val="20"/>
          <w:szCs w:val="20"/>
          <w:lang w:eastAsia="pt-BR"/>
        </w:rPr>
        <w:t xml:space="preserve"> e os fatores de risco mais comuns são: sexo masculino, fatores ocupacionais, tabagismo e traumatismos prévios. </w:t>
      </w:r>
      <w:r w:rsidRPr="002F03BA">
        <w:rPr>
          <w:rFonts w:ascii="ArialMT" w:eastAsia="Times New Roman" w:hAnsi="ArialMT" w:cs="Times New Roman"/>
          <w:position w:val="8"/>
          <w:sz w:val="12"/>
          <w:szCs w:val="12"/>
          <w:lang w:eastAsia="pt-BR"/>
        </w:rPr>
        <w:t>2</w:t>
      </w:r>
      <w:r w:rsidR="00392856">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3 </w:t>
      </w:r>
      <w:r w:rsidRPr="002F03BA">
        <w:rPr>
          <w:rFonts w:ascii="ArialMT" w:eastAsia="Times New Roman" w:hAnsi="ArialMT" w:cs="Times New Roman"/>
          <w:sz w:val="20"/>
          <w:szCs w:val="20"/>
          <w:lang w:eastAsia="pt-BR"/>
        </w:rPr>
        <w:t>Muitos pacientes portadores de discopatia cervical sintomática relatam dores na região cervical que podem ou não estar associadas à sintomas mielo</w:t>
      </w:r>
      <w:r w:rsidR="00454E88">
        <w:rPr>
          <w:rFonts w:ascii="ArialMT" w:eastAsia="Times New Roman" w:hAnsi="ArialMT" w:cs="Times New Roman"/>
          <w:sz w:val="20"/>
          <w:szCs w:val="20"/>
          <w:lang w:eastAsia="pt-BR"/>
        </w:rPr>
        <w:t>-</w:t>
      </w:r>
      <w:r w:rsidRPr="002F03BA">
        <w:rPr>
          <w:rFonts w:ascii="ArialMT" w:eastAsia="Times New Roman" w:hAnsi="ArialMT" w:cs="Times New Roman"/>
          <w:sz w:val="20"/>
          <w:szCs w:val="20"/>
          <w:lang w:eastAsia="pt-BR"/>
        </w:rPr>
        <w:t>radiculares. Nos pacientes que apresentam sintomas radiculares puros as dores em geral respeitam a distribuição do miótomo correspondente, a despeito d</w:t>
      </w:r>
      <w:r w:rsidR="00454E88">
        <w:rPr>
          <w:rFonts w:ascii="ArialMT" w:eastAsia="Times New Roman" w:hAnsi="ArialMT" w:cs="Times New Roman"/>
          <w:sz w:val="20"/>
          <w:szCs w:val="20"/>
          <w:lang w:eastAsia="pt-BR"/>
        </w:rPr>
        <w:t>o fato de</w:t>
      </w:r>
      <w:r w:rsidRPr="002F03BA">
        <w:rPr>
          <w:rFonts w:ascii="ArialMT" w:eastAsia="Times New Roman" w:hAnsi="ArialMT" w:cs="Times New Roman"/>
          <w:sz w:val="20"/>
          <w:szCs w:val="20"/>
          <w:lang w:eastAsia="pt-BR"/>
        </w:rPr>
        <w:t xml:space="preserve"> que as alterações sensitivas (como por exemplo queimação e formigamento) respeitam a distribuição do respectivo dermátomo.</w:t>
      </w:r>
      <w:r w:rsidRPr="002F03BA">
        <w:rPr>
          <w:rFonts w:ascii="ArialMT" w:eastAsia="Times New Roman" w:hAnsi="ArialMT" w:cs="Times New Roman"/>
          <w:position w:val="8"/>
          <w:sz w:val="12"/>
          <w:szCs w:val="12"/>
          <w:lang w:eastAsia="pt-BR"/>
        </w:rPr>
        <w:t xml:space="preserve">4 </w:t>
      </w:r>
      <w:r w:rsidRPr="002F03BA">
        <w:rPr>
          <w:rFonts w:ascii="ArialMT" w:eastAsia="Times New Roman" w:hAnsi="ArialMT" w:cs="Times New Roman"/>
          <w:sz w:val="20"/>
          <w:szCs w:val="20"/>
          <w:lang w:eastAsia="pt-BR"/>
        </w:rPr>
        <w:t xml:space="preserve">Em casos mais graves pode haver alteração da função motora ou diminuição dos reflexos miotáticos. </w:t>
      </w:r>
      <w:r w:rsidRPr="002F03BA">
        <w:rPr>
          <w:rFonts w:ascii="ArialMT" w:eastAsia="Times New Roman" w:hAnsi="ArialMT" w:cs="Times New Roman"/>
          <w:position w:val="8"/>
          <w:sz w:val="12"/>
          <w:szCs w:val="12"/>
          <w:lang w:eastAsia="pt-BR"/>
        </w:rPr>
        <w:t xml:space="preserve">4 </w:t>
      </w:r>
    </w:p>
    <w:p w:rsidR="002F03BA" w:rsidRPr="002F03BA" w:rsidRDefault="002F03BA" w:rsidP="00390A5F">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O diagnóstico é feito através de uma anamnese detalhada, seguido de um exame cl</w:t>
      </w:r>
      <w:r w:rsidR="00454E88">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nico neurológico minucioso, e através de exames complementares (</w:t>
      </w:r>
      <w:r w:rsidR="00454E88">
        <w:rPr>
          <w:rFonts w:ascii="ArialMT" w:eastAsia="Times New Roman" w:hAnsi="ArialMT" w:cs="Times New Roman"/>
          <w:sz w:val="20"/>
          <w:szCs w:val="20"/>
          <w:lang w:eastAsia="pt-BR"/>
        </w:rPr>
        <w:t>r</w:t>
      </w:r>
      <w:r w:rsidRPr="002F03BA">
        <w:rPr>
          <w:rFonts w:ascii="ArialMT" w:eastAsia="Times New Roman" w:hAnsi="ArialMT" w:cs="Times New Roman"/>
          <w:sz w:val="20"/>
          <w:szCs w:val="20"/>
          <w:lang w:eastAsia="pt-BR"/>
        </w:rPr>
        <w:t xml:space="preserve">adiografias, </w:t>
      </w:r>
      <w:r w:rsidR="00454E88">
        <w:rPr>
          <w:rFonts w:ascii="ArialMT" w:eastAsia="Times New Roman" w:hAnsi="ArialMT" w:cs="Times New Roman"/>
          <w:sz w:val="20"/>
          <w:szCs w:val="20"/>
          <w:lang w:eastAsia="pt-BR"/>
        </w:rPr>
        <w:t>r</w:t>
      </w:r>
      <w:r w:rsidRPr="002F03BA">
        <w:rPr>
          <w:rFonts w:ascii="ArialMT" w:eastAsia="Times New Roman" w:hAnsi="ArialMT" w:cs="Times New Roman"/>
          <w:sz w:val="20"/>
          <w:szCs w:val="20"/>
          <w:lang w:eastAsia="pt-BR"/>
        </w:rPr>
        <w:t xml:space="preserve">essonância </w:t>
      </w:r>
      <w:r w:rsidR="00454E88">
        <w:rPr>
          <w:rFonts w:ascii="ArialMT" w:eastAsia="Times New Roman" w:hAnsi="ArialMT" w:cs="Times New Roman"/>
          <w:sz w:val="20"/>
          <w:szCs w:val="20"/>
          <w:lang w:eastAsia="pt-BR"/>
        </w:rPr>
        <w:t>m</w:t>
      </w:r>
      <w:r w:rsidRPr="002F03BA">
        <w:rPr>
          <w:rFonts w:ascii="ArialMT" w:eastAsia="Times New Roman" w:hAnsi="ArialMT" w:cs="Times New Roman"/>
          <w:sz w:val="20"/>
          <w:szCs w:val="20"/>
          <w:lang w:eastAsia="pt-BR"/>
        </w:rPr>
        <w:t xml:space="preserve">agnética, </w:t>
      </w:r>
      <w:r w:rsidR="00454E88">
        <w:rPr>
          <w:rFonts w:ascii="ArialMT" w:eastAsia="Times New Roman" w:hAnsi="ArialMT" w:cs="Times New Roman"/>
          <w:sz w:val="20"/>
          <w:szCs w:val="20"/>
          <w:lang w:eastAsia="pt-BR"/>
        </w:rPr>
        <w:t>t</w:t>
      </w:r>
      <w:r w:rsidRPr="002F03BA">
        <w:rPr>
          <w:rFonts w:ascii="ArialMT" w:eastAsia="Times New Roman" w:hAnsi="ArialMT" w:cs="Times New Roman"/>
          <w:sz w:val="20"/>
          <w:szCs w:val="20"/>
          <w:lang w:eastAsia="pt-BR"/>
        </w:rPr>
        <w:t xml:space="preserve">omografia, </w:t>
      </w:r>
      <w:r w:rsidR="00454E88">
        <w:rPr>
          <w:rFonts w:ascii="ArialMT" w:eastAsia="Times New Roman" w:hAnsi="ArialMT" w:cs="Times New Roman"/>
          <w:sz w:val="20"/>
          <w:szCs w:val="20"/>
          <w:lang w:eastAsia="pt-BR"/>
        </w:rPr>
        <w:t>e</w:t>
      </w:r>
      <w:r w:rsidRPr="002F03BA">
        <w:rPr>
          <w:rFonts w:ascii="ArialMT" w:eastAsia="Times New Roman" w:hAnsi="ArialMT" w:cs="Times New Roman"/>
          <w:sz w:val="20"/>
          <w:szCs w:val="20"/>
          <w:lang w:eastAsia="pt-BR"/>
        </w:rPr>
        <w:t xml:space="preserve">letroneuromiografia e </w:t>
      </w:r>
      <w:r w:rsidR="00454E88">
        <w:rPr>
          <w:rFonts w:ascii="ArialMT" w:eastAsia="Times New Roman" w:hAnsi="ArialMT" w:cs="Times New Roman"/>
          <w:sz w:val="20"/>
          <w:szCs w:val="20"/>
          <w:lang w:eastAsia="pt-BR"/>
        </w:rPr>
        <w:t>m</w:t>
      </w:r>
      <w:r w:rsidRPr="002F03BA">
        <w:rPr>
          <w:rFonts w:ascii="ArialMT" w:eastAsia="Times New Roman" w:hAnsi="ArialMT" w:cs="Times New Roman"/>
          <w:sz w:val="20"/>
          <w:szCs w:val="20"/>
          <w:lang w:eastAsia="pt-BR"/>
        </w:rPr>
        <w:t>ielografia).</w:t>
      </w:r>
      <w:r w:rsidRPr="002F03BA">
        <w:rPr>
          <w:rFonts w:ascii="ArialMT" w:eastAsia="Times New Roman" w:hAnsi="ArialMT" w:cs="Times New Roman"/>
          <w:position w:val="8"/>
          <w:sz w:val="12"/>
          <w:szCs w:val="12"/>
          <w:lang w:eastAsia="pt-BR"/>
        </w:rPr>
        <w:t xml:space="preserve">4 </w:t>
      </w:r>
      <w:r w:rsidRPr="002F03BA">
        <w:rPr>
          <w:rFonts w:ascii="ArialMT" w:eastAsia="Times New Roman" w:hAnsi="ArialMT" w:cs="Times New Roman"/>
          <w:sz w:val="20"/>
          <w:szCs w:val="20"/>
          <w:lang w:eastAsia="pt-BR"/>
        </w:rPr>
        <w:t>Em 70-75% a etiologia da radiculopatia cervical decorre da estenose do forame, que por sua vez advém da perda de altura discal, uncoartrose anterior e artrose das articulações zigoapofisárias.</w:t>
      </w:r>
      <w:r w:rsidRPr="002F03BA">
        <w:rPr>
          <w:rFonts w:ascii="ArialMT" w:eastAsia="Times New Roman" w:hAnsi="ArialMT" w:cs="Times New Roman"/>
          <w:position w:val="8"/>
          <w:sz w:val="12"/>
          <w:szCs w:val="12"/>
          <w:lang w:eastAsia="pt-BR"/>
        </w:rPr>
        <w:t xml:space="preserve">4; 5 </w:t>
      </w:r>
      <w:r w:rsidRPr="002F03BA">
        <w:rPr>
          <w:rFonts w:ascii="ArialMT" w:eastAsia="Times New Roman" w:hAnsi="ArialMT" w:cs="Times New Roman"/>
          <w:sz w:val="20"/>
          <w:szCs w:val="20"/>
          <w:lang w:eastAsia="pt-BR"/>
        </w:rPr>
        <w:t>Ao contr</w:t>
      </w:r>
      <w:r w:rsidR="00454E88">
        <w:rPr>
          <w:rFonts w:ascii="ArialMT" w:eastAsia="Times New Roman" w:hAnsi="ArialMT" w:cs="Times New Roman"/>
          <w:sz w:val="20"/>
          <w:szCs w:val="20"/>
          <w:lang w:eastAsia="pt-BR"/>
        </w:rPr>
        <w:t>á</w:t>
      </w:r>
      <w:r w:rsidRPr="002F03BA">
        <w:rPr>
          <w:rFonts w:ascii="ArialMT" w:eastAsia="Times New Roman" w:hAnsi="ArialMT" w:cs="Times New Roman"/>
          <w:sz w:val="20"/>
          <w:szCs w:val="20"/>
          <w:lang w:eastAsia="pt-BR"/>
        </w:rPr>
        <w:t>rio do que se observa na coluna lombar as herniações do núcleo pulposo estão presentes em apenas 25% dos casos (Figura 1). Raramente o quadro cl</w:t>
      </w:r>
      <w:r w:rsidR="00454E88">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 xml:space="preserve">nico de radiculopatia pode estar associado a tumores espinhais, hematomas ou infecções. </w:t>
      </w:r>
      <w:r w:rsidRPr="002F03BA">
        <w:rPr>
          <w:rFonts w:ascii="ArialMT" w:eastAsia="Times New Roman" w:hAnsi="ArialMT" w:cs="Times New Roman"/>
          <w:position w:val="8"/>
          <w:sz w:val="12"/>
          <w:szCs w:val="12"/>
          <w:lang w:eastAsia="pt-BR"/>
        </w:rPr>
        <w:t>4</w:t>
      </w:r>
      <w:r w:rsidR="00454E88">
        <w:rPr>
          <w:rFonts w:ascii="ArialMT" w:eastAsia="Times New Roman" w:hAnsi="ArialMT" w:cs="Times New Roman"/>
          <w:position w:val="8"/>
          <w:sz w:val="12"/>
          <w:szCs w:val="12"/>
          <w:lang w:eastAsia="pt-BR"/>
        </w:rPr>
        <w:t>,5</w:t>
      </w:r>
      <w:r w:rsidRPr="002F03BA">
        <w:rPr>
          <w:rFonts w:ascii="ArialMT" w:eastAsia="Times New Roman" w:hAnsi="ArialMT" w:cs="Times New Roman"/>
          <w:sz w:val="12"/>
          <w:szCs w:val="12"/>
          <w:lang w:eastAsia="pt-BR"/>
        </w:rPr>
        <w:t xml:space="preserve"> </w:t>
      </w:r>
    </w:p>
    <w:p w:rsidR="002F03BA" w:rsidRPr="002F03BA" w:rsidRDefault="002F03BA" w:rsidP="002F03BA">
      <w:pPr>
        <w:rPr>
          <w:rFonts w:ascii="Times New Roman" w:eastAsia="Times New Roman" w:hAnsi="Times New Roman" w:cs="Times New Roman"/>
          <w:lang w:eastAsia="pt-BR"/>
        </w:rPr>
      </w:pPr>
      <w:r w:rsidRPr="002F03BA">
        <w:rPr>
          <w:rFonts w:ascii="Times New Roman" w:eastAsia="Times New Roman" w:hAnsi="Times New Roman" w:cs="Times New Roman"/>
          <w:lang w:eastAsia="pt-BR"/>
        </w:rPr>
        <w:lastRenderedPageBreak/>
        <w:fldChar w:fldCharType="begin"/>
      </w:r>
      <w:r w:rsidRPr="002F03BA">
        <w:rPr>
          <w:rFonts w:ascii="Times New Roman" w:eastAsia="Times New Roman" w:hAnsi="Times New Roman" w:cs="Times New Roman"/>
          <w:lang w:eastAsia="pt-BR"/>
        </w:rPr>
        <w:instrText xml:space="preserve"> INCLUDEPICTURE "/var/folders/zr/lf8hv2f13jg2xf4gnl7m83s40000gn/T/com.microsoft.Word/WebArchiveCopyPasteTempFiles/page3image149322576" \* MERGEFORMATINET </w:instrText>
      </w:r>
      <w:r w:rsidRPr="002F03BA">
        <w:rPr>
          <w:rFonts w:ascii="Times New Roman" w:eastAsia="Times New Roman" w:hAnsi="Times New Roman" w:cs="Times New Roman"/>
          <w:lang w:eastAsia="pt-BR"/>
        </w:rPr>
        <w:fldChar w:fldCharType="separate"/>
      </w:r>
      <w:r w:rsidRPr="002F03BA">
        <w:rPr>
          <w:rFonts w:ascii="Times New Roman" w:eastAsia="Times New Roman" w:hAnsi="Times New Roman" w:cs="Times New Roman"/>
          <w:noProof/>
          <w:lang w:eastAsia="pt-BR"/>
        </w:rPr>
        <w:drawing>
          <wp:inline distT="0" distB="0" distL="0" distR="0">
            <wp:extent cx="2944495" cy="3035935"/>
            <wp:effectExtent l="0" t="0" r="1905" b="0"/>
            <wp:docPr id="42" name="Imagem 42" descr="page3image149322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3image149322576"/>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44495" cy="3035935"/>
                    </a:xfrm>
                    <a:prstGeom prst="rect">
                      <a:avLst/>
                    </a:prstGeom>
                    <a:noFill/>
                    <a:ln>
                      <a:noFill/>
                    </a:ln>
                  </pic:spPr>
                </pic:pic>
              </a:graphicData>
            </a:graphic>
          </wp:inline>
        </w:drawing>
      </w:r>
      <w:r w:rsidRPr="002F03BA">
        <w:rPr>
          <w:rFonts w:ascii="Times New Roman" w:eastAsia="Times New Roman" w:hAnsi="Times New Roman" w:cs="Times New Roman"/>
          <w:lang w:eastAsia="pt-BR"/>
        </w:rPr>
        <w:fldChar w:fldCharType="end"/>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A maioria dos pacientes portadores de discopatia cervical sintomática associada a radiculopatia apresentam boa evolução com tratamento conservador.</w:t>
      </w:r>
      <w:r w:rsidRPr="002F03BA">
        <w:rPr>
          <w:rFonts w:ascii="ArialMT" w:eastAsia="Times New Roman" w:hAnsi="ArialMT" w:cs="Times New Roman"/>
          <w:position w:val="8"/>
          <w:sz w:val="12"/>
          <w:szCs w:val="12"/>
          <w:lang w:eastAsia="pt-BR"/>
        </w:rPr>
        <w:t xml:space="preserve">4 </w:t>
      </w:r>
      <w:r w:rsidRPr="002F03BA">
        <w:rPr>
          <w:rFonts w:ascii="ArialMT" w:eastAsia="Times New Roman" w:hAnsi="ArialMT" w:cs="Times New Roman"/>
          <w:sz w:val="20"/>
          <w:szCs w:val="20"/>
          <w:lang w:eastAsia="pt-BR"/>
        </w:rPr>
        <w:t>Entretanto cerca de 26% desses pacientes não apresentam melhora após tratamento conservador e irão necessitar de intervenção cirúrgica.</w:t>
      </w:r>
      <w:r w:rsidRPr="002F03BA">
        <w:rPr>
          <w:rFonts w:ascii="ArialMT" w:eastAsia="Times New Roman" w:hAnsi="ArialMT" w:cs="Times New Roman"/>
          <w:position w:val="8"/>
          <w:sz w:val="12"/>
          <w:szCs w:val="12"/>
          <w:lang w:eastAsia="pt-BR"/>
        </w:rPr>
        <w:t xml:space="preserve">5 </w:t>
      </w:r>
      <w:r w:rsidRPr="002F03BA">
        <w:rPr>
          <w:rFonts w:ascii="ArialMT" w:eastAsia="Times New Roman" w:hAnsi="ArialMT" w:cs="Times New Roman"/>
          <w:sz w:val="20"/>
          <w:szCs w:val="20"/>
          <w:lang w:eastAsia="pt-BR"/>
        </w:rPr>
        <w:t>A</w:t>
      </w:r>
      <w:r w:rsidR="00E666D3">
        <w:rPr>
          <w:rFonts w:ascii="ArialMT" w:eastAsia="Times New Roman" w:hAnsi="ArialMT" w:cs="Times New Roman"/>
          <w:sz w:val="20"/>
          <w:szCs w:val="20"/>
          <w:lang w:eastAsia="pt-BR"/>
        </w:rPr>
        <w:t xml:space="preserve"> mesma</w:t>
      </w:r>
      <w:r w:rsidRPr="002F03BA">
        <w:rPr>
          <w:rFonts w:ascii="ArialMT" w:eastAsia="Times New Roman" w:hAnsi="ArialMT" w:cs="Times New Roman"/>
          <w:sz w:val="20"/>
          <w:szCs w:val="20"/>
          <w:lang w:eastAsia="pt-BR"/>
        </w:rPr>
        <w:t xml:space="preserve"> deve ser considerada na presença de dores de padrão radicular persistente após 6 a 12 semanas, ou quando houver a presença ou progressão de um déficit motor funcionalmente importante.</w:t>
      </w:r>
      <w:r w:rsidRPr="002F03BA">
        <w:rPr>
          <w:rFonts w:ascii="ArialMT" w:eastAsia="Times New Roman" w:hAnsi="ArialMT" w:cs="Times New Roman"/>
          <w:position w:val="8"/>
          <w:sz w:val="12"/>
          <w:szCs w:val="12"/>
          <w:lang w:eastAsia="pt-BR"/>
        </w:rPr>
        <w:t xml:space="preserve">4 </w:t>
      </w:r>
      <w:r w:rsidRPr="002F03BA">
        <w:rPr>
          <w:rFonts w:ascii="ArialMT" w:eastAsia="Times New Roman" w:hAnsi="ArialMT" w:cs="Times New Roman"/>
          <w:sz w:val="20"/>
          <w:szCs w:val="20"/>
          <w:lang w:eastAsia="pt-BR"/>
        </w:rPr>
        <w:t>Respeitados os critérios de indicação e diante de uma boa correlação clinico</w:t>
      </w:r>
      <w:r w:rsidR="00E666D3">
        <w:rPr>
          <w:rFonts w:ascii="ArialMT" w:eastAsia="Times New Roman" w:hAnsi="ArialMT" w:cs="Times New Roman"/>
          <w:sz w:val="20"/>
          <w:szCs w:val="20"/>
          <w:lang w:eastAsia="pt-BR"/>
        </w:rPr>
        <w:t>-</w:t>
      </w:r>
      <w:r w:rsidRPr="002F03BA">
        <w:rPr>
          <w:rFonts w:ascii="ArialMT" w:eastAsia="Times New Roman" w:hAnsi="ArialMT" w:cs="Times New Roman"/>
          <w:sz w:val="20"/>
          <w:szCs w:val="20"/>
          <w:lang w:eastAsia="pt-BR"/>
        </w:rPr>
        <w:t>radiológica, o tratamento cirúrgico é extremamente efetivo no al</w:t>
      </w:r>
      <w:r w:rsidR="00E666D3">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vio dos sintomas radiculares, embora ainda não esteja claro na literatura o</w:t>
      </w:r>
      <w:r w:rsidR="00E666D3">
        <w:rPr>
          <w:rFonts w:ascii="ArialMT" w:eastAsia="Times New Roman" w:hAnsi="ArialMT" w:cs="Times New Roman"/>
          <w:sz w:val="20"/>
          <w:szCs w:val="20"/>
          <w:lang w:eastAsia="pt-BR"/>
        </w:rPr>
        <w:t xml:space="preserve"> momento</w:t>
      </w:r>
      <w:r w:rsidRPr="002F03BA">
        <w:rPr>
          <w:rFonts w:ascii="ArialMT" w:eastAsia="Times New Roman" w:hAnsi="ArialMT" w:cs="Times New Roman"/>
          <w:sz w:val="20"/>
          <w:szCs w:val="20"/>
          <w:lang w:eastAsia="pt-BR"/>
        </w:rPr>
        <w:t xml:space="preserve"> ideal em que </w:t>
      </w:r>
      <w:r w:rsidR="00E666D3">
        <w:rPr>
          <w:rFonts w:ascii="ArialMT" w:eastAsia="Times New Roman" w:hAnsi="ArialMT" w:cs="Times New Roman"/>
          <w:sz w:val="20"/>
          <w:szCs w:val="20"/>
          <w:lang w:eastAsia="pt-BR"/>
        </w:rPr>
        <w:t>o procedimento</w:t>
      </w:r>
      <w:r w:rsidRPr="002F03BA">
        <w:rPr>
          <w:rFonts w:ascii="ArialMT" w:eastAsia="Times New Roman" w:hAnsi="ArialMT" w:cs="Times New Roman"/>
          <w:sz w:val="20"/>
          <w:szCs w:val="20"/>
          <w:lang w:eastAsia="pt-BR"/>
        </w:rPr>
        <w:t xml:space="preserve"> deva ser realizad</w:t>
      </w:r>
      <w:r w:rsidR="00E666D3">
        <w:rPr>
          <w:rFonts w:ascii="ArialMT" w:eastAsia="Times New Roman" w:hAnsi="ArialMT" w:cs="Times New Roman"/>
          <w:sz w:val="20"/>
          <w:szCs w:val="20"/>
          <w:lang w:eastAsia="pt-BR"/>
        </w:rPr>
        <w:t>o</w:t>
      </w:r>
      <w:r w:rsidRPr="002F03BA">
        <w:rPr>
          <w:rFonts w:ascii="ArialMT" w:eastAsia="Times New Roman" w:hAnsi="ArialMT" w:cs="Times New Roman"/>
          <w:sz w:val="20"/>
          <w:szCs w:val="20"/>
          <w:lang w:eastAsia="pt-BR"/>
        </w:rPr>
        <w:t>.</w:t>
      </w:r>
      <w:r w:rsidRPr="002F03BA">
        <w:rPr>
          <w:rFonts w:ascii="ArialMT" w:eastAsia="Times New Roman" w:hAnsi="ArialMT" w:cs="Times New Roman"/>
          <w:position w:val="8"/>
          <w:sz w:val="12"/>
          <w:szCs w:val="12"/>
          <w:lang w:eastAsia="pt-BR"/>
        </w:rPr>
        <w:t xml:space="preserve">6 </w:t>
      </w:r>
      <w:r w:rsidRPr="002F03BA">
        <w:rPr>
          <w:rFonts w:ascii="ArialMT" w:eastAsia="Times New Roman" w:hAnsi="ArialMT" w:cs="Times New Roman"/>
          <w:sz w:val="20"/>
          <w:szCs w:val="20"/>
          <w:lang w:eastAsia="pt-BR"/>
        </w:rPr>
        <w:t xml:space="preserve">Dados de estudos prospectivos observacionais demonstram que nos pacientes portadores de discopatia cervical associada a radiculopatia isolada, apresentam melhora dos sintomas radiculares em 75% (dor, </w:t>
      </w:r>
      <w:r w:rsidR="00E666D3">
        <w:rPr>
          <w:rFonts w:ascii="ArialMT" w:eastAsia="Times New Roman" w:hAnsi="ArialMT" w:cs="Times New Roman"/>
          <w:sz w:val="20"/>
          <w:szCs w:val="20"/>
          <w:lang w:eastAsia="pt-BR"/>
        </w:rPr>
        <w:t>pasrestesia e perda de força)</w:t>
      </w:r>
      <w:r w:rsidRPr="002F03BA">
        <w:rPr>
          <w:rFonts w:ascii="ArialMT" w:eastAsia="Times New Roman" w:hAnsi="ArialMT" w:cs="Times New Roman"/>
          <w:sz w:val="20"/>
          <w:szCs w:val="20"/>
          <w:lang w:eastAsia="pt-BR"/>
        </w:rPr>
        <w:t>, após 2 anos do tratamento cirúrgico.</w:t>
      </w:r>
      <w:r w:rsidRPr="002F03BA">
        <w:rPr>
          <w:rFonts w:ascii="ArialMT" w:eastAsia="Times New Roman" w:hAnsi="ArialMT" w:cs="Times New Roman"/>
          <w:position w:val="8"/>
          <w:sz w:val="12"/>
          <w:szCs w:val="12"/>
          <w:lang w:eastAsia="pt-BR"/>
        </w:rPr>
        <w:t xml:space="preserve">7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Diversas técnicas cirúrgicas são descritas para o tratamento da discopatia cervical sintomática associada a radiculopatia. O tratamento cirúrgico pode ser feito através de infiltraç</w:t>
      </w:r>
      <w:r w:rsidR="00E666D3">
        <w:rPr>
          <w:rFonts w:ascii="ArialMT" w:eastAsia="Times New Roman" w:hAnsi="ArialMT" w:cs="Times New Roman"/>
          <w:sz w:val="20"/>
          <w:szCs w:val="20"/>
          <w:lang w:eastAsia="pt-BR"/>
        </w:rPr>
        <w:t>ão</w:t>
      </w:r>
      <w:r w:rsidRPr="002F03BA">
        <w:rPr>
          <w:rFonts w:ascii="ArialMT" w:eastAsia="Times New Roman" w:hAnsi="ArialMT" w:cs="Times New Roman"/>
          <w:sz w:val="20"/>
          <w:szCs w:val="20"/>
          <w:lang w:eastAsia="pt-BR"/>
        </w:rPr>
        <w:t>, dissectomia anterior com artrodese</w:t>
      </w:r>
      <w:r w:rsidR="00E666D3">
        <w:rPr>
          <w:rFonts w:ascii="ArialMT" w:eastAsia="Times New Roman" w:hAnsi="ArialMT" w:cs="Times New Roman"/>
          <w:sz w:val="20"/>
          <w:szCs w:val="20"/>
          <w:lang w:eastAsia="pt-BR"/>
        </w:rPr>
        <w:t xml:space="preserve"> ou</w:t>
      </w:r>
      <w:r w:rsidRPr="002F03BA">
        <w:rPr>
          <w:rFonts w:ascii="ArialMT" w:eastAsia="Times New Roman" w:hAnsi="ArialMT" w:cs="Times New Roman"/>
          <w:sz w:val="20"/>
          <w:szCs w:val="20"/>
          <w:lang w:eastAsia="pt-BR"/>
        </w:rPr>
        <w:t xml:space="preserve"> associad</w:t>
      </w:r>
      <w:r w:rsidR="00E666D3">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a artroplastia, micro laminoforaminotomia posterior e mais recentemente por abordagens totalmente endoscópicas por via anterior ou posterior.</w:t>
      </w:r>
      <w:r w:rsidRPr="002F03BA">
        <w:rPr>
          <w:rFonts w:ascii="ArialMT" w:eastAsia="Times New Roman" w:hAnsi="ArialMT" w:cs="Times New Roman"/>
          <w:position w:val="8"/>
          <w:sz w:val="12"/>
          <w:szCs w:val="12"/>
          <w:lang w:eastAsia="pt-BR"/>
        </w:rPr>
        <w:t>4</w:t>
      </w:r>
      <w:r w:rsidR="0069242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8</w:t>
      </w:r>
      <w:r w:rsidR="0069242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9</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10</w:t>
      </w:r>
      <w:r w:rsidR="0069242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11</w:t>
      </w:r>
      <w:r w:rsidR="0069242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12</w:t>
      </w:r>
      <w:r w:rsidR="0069242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13</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14</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15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A escolha da via e técnica cirúrgica dependem de diversos fatores. Dentre eles destacam-se a presença instabilidades ou deformidades, o numero de níveis acometidos, o nível afetado, a experiência do cirurgião e de fatores econômicos.</w:t>
      </w:r>
      <w:r w:rsidRPr="002F03BA">
        <w:rPr>
          <w:rFonts w:ascii="ArialMT" w:eastAsia="Times New Roman" w:hAnsi="ArialMT" w:cs="Times New Roman"/>
          <w:position w:val="8"/>
          <w:sz w:val="12"/>
          <w:szCs w:val="12"/>
          <w:lang w:eastAsia="pt-BR"/>
        </w:rPr>
        <w:t>4</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8</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16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Dentre os tratamentos descritos a dissectomia via anterior seguido de artrodese intersomática é o procedimento mais frequentemente utilizado e estudado. </w:t>
      </w:r>
      <w:r w:rsidRPr="002F03BA">
        <w:rPr>
          <w:rFonts w:ascii="ArialMT" w:eastAsia="Times New Roman" w:hAnsi="ArialMT" w:cs="Times New Roman"/>
          <w:position w:val="8"/>
          <w:sz w:val="12"/>
          <w:szCs w:val="12"/>
          <w:lang w:eastAsia="pt-BR"/>
        </w:rPr>
        <w:t>4</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8</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16</w:t>
      </w:r>
      <w:r w:rsidR="0069242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17 </w:t>
      </w:r>
      <w:r w:rsidRPr="002F03BA">
        <w:rPr>
          <w:rFonts w:ascii="ArialMT" w:eastAsia="Times New Roman" w:hAnsi="ArialMT" w:cs="Times New Roman"/>
          <w:sz w:val="20"/>
          <w:szCs w:val="20"/>
          <w:lang w:eastAsia="pt-BR"/>
        </w:rPr>
        <w:t>A dissectomia seguid</w:t>
      </w:r>
      <w:r w:rsidR="00692428">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do implante de discos artificiais (artroplastia) ainda permanece controvers</w:t>
      </w:r>
      <w:r w:rsidR="00692428">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na literatura e dados recentes revelam resultados equivalentes ao da dissectomia anterior associad</w:t>
      </w:r>
      <w:r w:rsidR="00692428">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a fusão, a despeito de um maior custo</w:t>
      </w:r>
      <w:r w:rsidR="00692428">
        <w:rPr>
          <w:rFonts w:ascii="ArialMT" w:eastAsia="Times New Roman" w:hAnsi="ArialMT" w:cs="Times New Roman"/>
          <w:sz w:val="20"/>
          <w:szCs w:val="20"/>
          <w:lang w:eastAsia="pt-BR"/>
        </w:rPr>
        <w:t>.</w:t>
      </w:r>
      <w:r w:rsidRPr="002F03BA">
        <w:rPr>
          <w:rFonts w:ascii="ArialMT" w:eastAsia="Times New Roman" w:hAnsi="ArialMT" w:cs="Times New Roman"/>
          <w:position w:val="8"/>
          <w:sz w:val="12"/>
          <w:szCs w:val="12"/>
          <w:lang w:eastAsia="pt-BR"/>
        </w:rPr>
        <w:t xml:space="preserve">14 </w:t>
      </w:r>
      <w:r w:rsidRPr="002F03BA">
        <w:rPr>
          <w:rFonts w:ascii="ArialMT" w:eastAsia="Times New Roman" w:hAnsi="ArialMT" w:cs="Times New Roman"/>
          <w:sz w:val="20"/>
          <w:szCs w:val="20"/>
          <w:lang w:eastAsia="pt-BR"/>
        </w:rPr>
        <w:t>As complicações de</w:t>
      </w:r>
      <w:r w:rsidR="00692428">
        <w:rPr>
          <w:rFonts w:ascii="ArialMT" w:eastAsia="Times New Roman" w:hAnsi="ArialMT" w:cs="Times New Roman"/>
          <w:sz w:val="20"/>
          <w:szCs w:val="20"/>
          <w:lang w:eastAsia="pt-BR"/>
        </w:rPr>
        <w:t>st</w:t>
      </w:r>
      <w:r w:rsidRPr="002F03BA">
        <w:rPr>
          <w:rFonts w:ascii="ArialMT" w:eastAsia="Times New Roman" w:hAnsi="ArialMT" w:cs="Times New Roman"/>
          <w:sz w:val="20"/>
          <w:szCs w:val="20"/>
          <w:lang w:eastAsia="pt-BR"/>
        </w:rPr>
        <w:t>es procedimentos, apesar de pouco comuns, são amplamente descritas, e podem incluir lesão medular (menos de 1%), lesão radicular (2 a 3 %), rouquidão decorrentes da manipulação ou lesão do nervo laríngeo recorrente (2%),</w:t>
      </w:r>
      <w:r w:rsidR="00692428">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perfuração esofágica (&lt; 1%), disfagia, pseudoartrose, subsidência do implante, falha no sistema de fixação (&lt; 5% para cirurgias de 1 nível), doença degenerativa discal do nível adjacente e infecções.</w:t>
      </w:r>
      <w:r w:rsidRPr="002F03BA">
        <w:rPr>
          <w:rFonts w:ascii="ArialMT" w:eastAsia="Times New Roman" w:hAnsi="ArialMT" w:cs="Times New Roman"/>
          <w:position w:val="8"/>
          <w:sz w:val="12"/>
          <w:szCs w:val="12"/>
          <w:lang w:eastAsia="pt-BR"/>
        </w:rPr>
        <w:t xml:space="preserve">7 </w:t>
      </w:r>
      <w:r w:rsidRPr="002F03BA">
        <w:rPr>
          <w:rFonts w:ascii="ArialMT" w:eastAsia="Times New Roman" w:hAnsi="ArialMT" w:cs="Times New Roman"/>
          <w:sz w:val="20"/>
          <w:szCs w:val="20"/>
          <w:lang w:eastAsia="pt-BR"/>
        </w:rPr>
        <w:t>Frente à e</w:t>
      </w:r>
      <w:r w:rsidR="00692428">
        <w:rPr>
          <w:rFonts w:ascii="ArialMT" w:eastAsia="Times New Roman" w:hAnsi="ArialMT" w:cs="Times New Roman"/>
          <w:sz w:val="20"/>
          <w:szCs w:val="20"/>
          <w:lang w:eastAsia="pt-BR"/>
        </w:rPr>
        <w:t>st</w:t>
      </w:r>
      <w:r w:rsidRPr="002F03BA">
        <w:rPr>
          <w:rFonts w:ascii="ArialMT" w:eastAsia="Times New Roman" w:hAnsi="ArialMT" w:cs="Times New Roman"/>
          <w:sz w:val="20"/>
          <w:szCs w:val="20"/>
          <w:lang w:eastAsia="pt-BR"/>
        </w:rPr>
        <w:t>as complicações alguns autores defendem as microlaminoforaminotomias posteriores. Essa técnica tem a vantagem de causar pouca instabilidade, permit</w:t>
      </w:r>
      <w:r w:rsidR="00692428">
        <w:rPr>
          <w:rFonts w:ascii="ArialMT" w:eastAsia="Times New Roman" w:hAnsi="ArialMT" w:cs="Times New Roman"/>
          <w:sz w:val="20"/>
          <w:szCs w:val="20"/>
          <w:lang w:eastAsia="pt-BR"/>
        </w:rPr>
        <w:t>ir</w:t>
      </w:r>
      <w:r w:rsidRPr="002F03BA">
        <w:rPr>
          <w:rFonts w:ascii="ArialMT" w:eastAsia="Times New Roman" w:hAnsi="ArialMT" w:cs="Times New Roman"/>
          <w:sz w:val="20"/>
          <w:szCs w:val="20"/>
          <w:lang w:eastAsia="pt-BR"/>
        </w:rPr>
        <w:t xml:space="preserve"> tratar níveis próximos a transição cérvico torácica ou níveis mais altos sem grandes restrições anatômicas, mante</w:t>
      </w:r>
      <w:r w:rsidR="00692428">
        <w:rPr>
          <w:rFonts w:ascii="ArialMT" w:eastAsia="Times New Roman" w:hAnsi="ArialMT" w:cs="Times New Roman"/>
          <w:sz w:val="20"/>
          <w:szCs w:val="20"/>
          <w:lang w:eastAsia="pt-BR"/>
        </w:rPr>
        <w:t>r</w:t>
      </w:r>
      <w:r w:rsidRPr="002F03BA">
        <w:rPr>
          <w:rFonts w:ascii="ArialMT" w:eastAsia="Times New Roman" w:hAnsi="ArialMT" w:cs="Times New Roman"/>
          <w:sz w:val="20"/>
          <w:szCs w:val="20"/>
          <w:lang w:eastAsia="pt-BR"/>
        </w:rPr>
        <w:t xml:space="preserve"> a mobilidade do segmento e dispensa</w:t>
      </w:r>
      <w:r w:rsidR="00692428">
        <w:rPr>
          <w:rFonts w:ascii="ArialMT" w:eastAsia="Times New Roman" w:hAnsi="ArialMT" w:cs="Times New Roman"/>
          <w:sz w:val="20"/>
          <w:szCs w:val="20"/>
          <w:lang w:eastAsia="pt-BR"/>
        </w:rPr>
        <w:t>r</w:t>
      </w:r>
      <w:r w:rsidRPr="002F03BA">
        <w:rPr>
          <w:rFonts w:ascii="ArialMT" w:eastAsia="Times New Roman" w:hAnsi="ArialMT" w:cs="Times New Roman"/>
          <w:sz w:val="20"/>
          <w:szCs w:val="20"/>
          <w:lang w:eastAsia="pt-BR"/>
        </w:rPr>
        <w:t xml:space="preserve"> o uso de próteses. Dessa maneira apresentam menor ocorrência de degeneração do nível adjacente e ausência de problemas inerentes aos sistemas de fixação. Como desvantagem causam lesão muscular </w:t>
      </w:r>
      <w:r w:rsidRPr="002F03BA">
        <w:rPr>
          <w:rFonts w:ascii="ArialMT" w:eastAsia="Times New Roman" w:hAnsi="ArialMT" w:cs="Times New Roman"/>
          <w:sz w:val="20"/>
          <w:szCs w:val="20"/>
          <w:lang w:eastAsia="pt-BR"/>
        </w:rPr>
        <w:lastRenderedPageBreak/>
        <w:t>posterior o que pode ser motivo de dores no pós-operatório. Soma</w:t>
      </w:r>
      <w:r w:rsidR="00692428">
        <w:rPr>
          <w:rFonts w:ascii="ArialMT" w:eastAsia="Times New Roman" w:hAnsi="ArialMT" w:cs="Times New Roman"/>
          <w:sz w:val="20"/>
          <w:szCs w:val="20"/>
          <w:lang w:eastAsia="pt-BR"/>
        </w:rPr>
        <w:t>-</w:t>
      </w:r>
      <w:r w:rsidRPr="002F03BA">
        <w:rPr>
          <w:rFonts w:ascii="ArialMT" w:eastAsia="Times New Roman" w:hAnsi="ArialMT" w:cs="Times New Roman"/>
          <w:sz w:val="20"/>
          <w:szCs w:val="20"/>
          <w:lang w:eastAsia="pt-BR"/>
        </w:rPr>
        <w:t>se também que a indicação dessa técnica se restringe para pacientes com sintomas radiculares puros, preferencialmente unilatera</w:t>
      </w:r>
      <w:r w:rsidR="00692428">
        <w:rPr>
          <w:rFonts w:ascii="ArialMT" w:eastAsia="Times New Roman" w:hAnsi="ArialMT" w:cs="Times New Roman"/>
          <w:sz w:val="20"/>
          <w:szCs w:val="20"/>
          <w:lang w:eastAsia="pt-BR"/>
        </w:rPr>
        <w:t>l</w:t>
      </w:r>
      <w:r w:rsidRPr="002F03BA">
        <w:rPr>
          <w:rFonts w:ascii="ArialMT" w:eastAsia="Times New Roman" w:hAnsi="ArialMT" w:cs="Times New Roman"/>
          <w:sz w:val="20"/>
          <w:szCs w:val="20"/>
          <w:lang w:eastAsia="pt-BR"/>
        </w:rPr>
        <w:t xml:space="preserve"> e uni segmentar e sem evid</w:t>
      </w:r>
      <w:r w:rsidR="00692428">
        <w:rPr>
          <w:rFonts w:ascii="ArialMT" w:eastAsia="Times New Roman" w:hAnsi="ArialMT" w:cs="Times New Roman"/>
          <w:sz w:val="20"/>
          <w:szCs w:val="20"/>
          <w:lang w:eastAsia="pt-BR"/>
        </w:rPr>
        <w:t>ê</w:t>
      </w:r>
      <w:r w:rsidRPr="002F03BA">
        <w:rPr>
          <w:rFonts w:ascii="ArialMT" w:eastAsia="Times New Roman" w:hAnsi="ArialMT" w:cs="Times New Roman"/>
          <w:sz w:val="20"/>
          <w:szCs w:val="20"/>
          <w:lang w:eastAsia="pt-BR"/>
        </w:rPr>
        <w:t>ncias radiológicas de compressão medular central.</w:t>
      </w:r>
      <w:r w:rsidRPr="002F03BA">
        <w:rPr>
          <w:rFonts w:ascii="ArialMT" w:eastAsia="Times New Roman" w:hAnsi="ArialMT" w:cs="Times New Roman"/>
          <w:position w:val="8"/>
          <w:sz w:val="12"/>
          <w:szCs w:val="12"/>
          <w:lang w:eastAsia="pt-BR"/>
        </w:rPr>
        <w:t xml:space="preserve">15 </w:t>
      </w:r>
    </w:p>
    <w:p w:rsidR="002F03BA" w:rsidRPr="002F03BA" w:rsidRDefault="00692428" w:rsidP="00E666D3">
      <w:pPr>
        <w:spacing w:before="100" w:beforeAutospacing="1" w:after="100" w:afterAutospacing="1"/>
        <w:jc w:val="both"/>
        <w:rPr>
          <w:rFonts w:ascii="Times New Roman" w:eastAsia="Times New Roman" w:hAnsi="Times New Roman" w:cs="Times New Roman"/>
          <w:lang w:eastAsia="pt-BR"/>
        </w:rPr>
      </w:pPr>
      <w:r>
        <w:rPr>
          <w:rFonts w:ascii="ArialMT" w:eastAsia="Times New Roman" w:hAnsi="ArialMT" w:cs="Times New Roman"/>
          <w:sz w:val="20"/>
          <w:szCs w:val="20"/>
          <w:lang w:eastAsia="pt-BR"/>
        </w:rPr>
        <w:t xml:space="preserve">Com </w:t>
      </w:r>
      <w:r w:rsidR="002F03BA" w:rsidRPr="002F03BA">
        <w:rPr>
          <w:rFonts w:ascii="ArialMT" w:eastAsia="Times New Roman" w:hAnsi="ArialMT" w:cs="Times New Roman"/>
          <w:sz w:val="20"/>
          <w:szCs w:val="20"/>
          <w:lang w:eastAsia="pt-BR"/>
        </w:rPr>
        <w:t>o avanço da técnica totalmente endoscópica, tornou-se possível a realização de microlaminoforaminotomias posteriores por essa via, sendo as indicações semelhantes ao da técnica convencional.</w:t>
      </w:r>
      <w:r w:rsidR="002F03BA" w:rsidRPr="002F03BA">
        <w:rPr>
          <w:rFonts w:ascii="ArialMT" w:eastAsia="Times New Roman" w:hAnsi="ArialMT" w:cs="Times New Roman"/>
          <w:position w:val="8"/>
          <w:sz w:val="12"/>
          <w:szCs w:val="12"/>
          <w:lang w:eastAsia="pt-BR"/>
        </w:rPr>
        <w:t>9</w:t>
      </w:r>
      <w:r>
        <w:rPr>
          <w:rFonts w:ascii="ArialMT" w:eastAsia="Times New Roman" w:hAnsi="ArialMT" w:cs="Times New Roman"/>
          <w:position w:val="8"/>
          <w:sz w:val="12"/>
          <w:szCs w:val="12"/>
          <w:lang w:eastAsia="pt-BR"/>
        </w:rPr>
        <w:t>,</w:t>
      </w:r>
      <w:r w:rsidR="002F03BA" w:rsidRPr="002F03BA">
        <w:rPr>
          <w:rFonts w:ascii="ArialMT" w:eastAsia="Times New Roman" w:hAnsi="ArialMT" w:cs="Times New Roman"/>
          <w:position w:val="8"/>
          <w:sz w:val="12"/>
          <w:szCs w:val="12"/>
          <w:lang w:eastAsia="pt-BR"/>
        </w:rPr>
        <w:t xml:space="preserve"> 10</w:t>
      </w:r>
      <w:r>
        <w:rPr>
          <w:rFonts w:ascii="ArialMT" w:eastAsia="Times New Roman" w:hAnsi="ArialMT" w:cs="Times New Roman"/>
          <w:position w:val="8"/>
          <w:sz w:val="12"/>
          <w:szCs w:val="12"/>
          <w:lang w:eastAsia="pt-BR"/>
        </w:rPr>
        <w:t>,</w:t>
      </w:r>
      <w:r w:rsidR="002F03BA" w:rsidRPr="002F03BA">
        <w:rPr>
          <w:rFonts w:ascii="ArialMT" w:eastAsia="Times New Roman" w:hAnsi="ArialMT" w:cs="Times New Roman"/>
          <w:position w:val="8"/>
          <w:sz w:val="12"/>
          <w:szCs w:val="12"/>
          <w:lang w:eastAsia="pt-BR"/>
        </w:rPr>
        <w:t xml:space="preserve"> 11</w:t>
      </w:r>
      <w:r>
        <w:rPr>
          <w:rFonts w:ascii="ArialMT" w:eastAsia="Times New Roman" w:hAnsi="ArialMT" w:cs="Times New Roman"/>
          <w:position w:val="8"/>
          <w:sz w:val="12"/>
          <w:szCs w:val="12"/>
          <w:lang w:eastAsia="pt-BR"/>
        </w:rPr>
        <w:t>,</w:t>
      </w:r>
      <w:r w:rsidR="002F03BA" w:rsidRPr="002F03BA">
        <w:rPr>
          <w:rFonts w:ascii="ArialMT" w:eastAsia="Times New Roman" w:hAnsi="ArialMT" w:cs="Times New Roman"/>
          <w:position w:val="8"/>
          <w:sz w:val="12"/>
          <w:szCs w:val="12"/>
          <w:lang w:eastAsia="pt-BR"/>
        </w:rPr>
        <w:t xml:space="preserve"> 18 </w:t>
      </w:r>
      <w:r w:rsidR="002F03BA" w:rsidRPr="002F03BA">
        <w:rPr>
          <w:rFonts w:ascii="ArialMT" w:eastAsia="Times New Roman" w:hAnsi="ArialMT" w:cs="Times New Roman"/>
          <w:sz w:val="20"/>
          <w:szCs w:val="20"/>
          <w:lang w:eastAsia="pt-BR"/>
        </w:rPr>
        <w:t xml:space="preserve">As vantagens do procedimento endoscópico em relação ao convencional são: melhor visualização e iluminação intra operatória, menor perda sanguínea, menor lesão muscular e de partes moles, menor incidência de infecções, menor tempo de internação hospitalar, reabilitação precoce, além das demais vantagens já descritas em relação as abordagens por via anterior. </w:t>
      </w:r>
      <w:r w:rsidR="002F03BA" w:rsidRPr="002F03BA">
        <w:rPr>
          <w:rFonts w:ascii="ArialMT" w:eastAsia="Times New Roman" w:hAnsi="ArialMT" w:cs="Times New Roman"/>
          <w:position w:val="8"/>
          <w:sz w:val="12"/>
          <w:szCs w:val="12"/>
          <w:lang w:eastAsia="pt-BR"/>
        </w:rPr>
        <w:t>9</w:t>
      </w:r>
      <w:r>
        <w:rPr>
          <w:rFonts w:ascii="ArialMT" w:eastAsia="Times New Roman" w:hAnsi="ArialMT" w:cs="Times New Roman"/>
          <w:position w:val="8"/>
          <w:sz w:val="12"/>
          <w:szCs w:val="12"/>
          <w:lang w:eastAsia="pt-BR"/>
        </w:rPr>
        <w:t>,</w:t>
      </w:r>
      <w:r w:rsidR="002F03BA" w:rsidRPr="002F03BA">
        <w:rPr>
          <w:rFonts w:ascii="ArialMT" w:eastAsia="Times New Roman" w:hAnsi="ArialMT" w:cs="Times New Roman"/>
          <w:position w:val="8"/>
          <w:sz w:val="12"/>
          <w:szCs w:val="12"/>
          <w:lang w:eastAsia="pt-BR"/>
        </w:rPr>
        <w:t xml:space="preserve"> 11</w:t>
      </w:r>
      <w:r>
        <w:rPr>
          <w:rFonts w:ascii="ArialMT" w:eastAsia="Times New Roman" w:hAnsi="ArialMT" w:cs="Times New Roman"/>
          <w:position w:val="8"/>
          <w:sz w:val="12"/>
          <w:szCs w:val="12"/>
          <w:lang w:eastAsia="pt-BR"/>
        </w:rPr>
        <w:t>,</w:t>
      </w:r>
      <w:r w:rsidR="002F03BA" w:rsidRPr="002F03BA">
        <w:rPr>
          <w:rFonts w:ascii="ArialMT" w:eastAsia="Times New Roman" w:hAnsi="ArialMT" w:cs="Times New Roman"/>
          <w:position w:val="8"/>
          <w:sz w:val="12"/>
          <w:szCs w:val="12"/>
          <w:lang w:eastAsia="pt-BR"/>
        </w:rPr>
        <w:t xml:space="preserve"> 19 </w:t>
      </w:r>
      <w:r w:rsidR="002F03BA" w:rsidRPr="002F03BA">
        <w:rPr>
          <w:rFonts w:ascii="ArialMT" w:eastAsia="Times New Roman" w:hAnsi="ArialMT" w:cs="Times New Roman"/>
          <w:sz w:val="20"/>
          <w:szCs w:val="20"/>
          <w:lang w:eastAsia="pt-BR"/>
        </w:rPr>
        <w:t>As desvantagens desse procedimento é a curva de aprendizado da técnica, disponibilidade de equipamentos adequados, limitação de acesso diante de complicações (sangramento e durotomias) e o acesso limitado ao espaço intradiscal.</w:t>
      </w:r>
      <w:r w:rsidR="002F03BA" w:rsidRPr="002F03BA">
        <w:rPr>
          <w:rFonts w:ascii="ArialMT" w:eastAsia="Times New Roman" w:hAnsi="ArialMT" w:cs="Times New Roman"/>
          <w:position w:val="8"/>
          <w:sz w:val="12"/>
          <w:szCs w:val="12"/>
          <w:lang w:eastAsia="pt-BR"/>
        </w:rPr>
        <w:t xml:space="preserve">9 </w:t>
      </w:r>
      <w:r w:rsidR="002F03BA" w:rsidRPr="002F03BA">
        <w:rPr>
          <w:rFonts w:ascii="ArialMT" w:eastAsia="Times New Roman" w:hAnsi="ArialMT" w:cs="Times New Roman"/>
          <w:sz w:val="20"/>
          <w:szCs w:val="20"/>
          <w:lang w:eastAsia="pt-BR"/>
        </w:rPr>
        <w:t>As principais indicações da técnica endoscópica são para pacientes portadores de dores radiculares intoleráveis ou persistentes, portadores de estenose foraminal, cistos sinoviais com compressão radicular, compressões residuais no nível operado ou em níveis adjacentes pós</w:t>
      </w:r>
      <w:r>
        <w:rPr>
          <w:rFonts w:ascii="ArialMT" w:eastAsia="Times New Roman" w:hAnsi="ArialMT" w:cs="Times New Roman"/>
          <w:sz w:val="20"/>
          <w:szCs w:val="20"/>
          <w:lang w:eastAsia="pt-BR"/>
        </w:rPr>
        <w:t>-</w:t>
      </w:r>
      <w:r w:rsidR="002F03BA" w:rsidRPr="002F03BA">
        <w:rPr>
          <w:rFonts w:ascii="ArialMT" w:eastAsia="Times New Roman" w:hAnsi="ArialMT" w:cs="Times New Roman"/>
          <w:sz w:val="20"/>
          <w:szCs w:val="20"/>
          <w:lang w:eastAsia="pt-BR"/>
        </w:rPr>
        <w:t>abordagens anteriores e mais raramente para drenagem de hematomas ou abscessos epidurais.</w:t>
      </w:r>
      <w:r w:rsidR="002F03BA" w:rsidRPr="002F03BA">
        <w:rPr>
          <w:rFonts w:ascii="ArialMT" w:eastAsia="Times New Roman" w:hAnsi="ArialMT" w:cs="Times New Roman"/>
          <w:position w:val="8"/>
          <w:sz w:val="12"/>
          <w:szCs w:val="12"/>
          <w:lang w:eastAsia="pt-BR"/>
        </w:rPr>
        <w:t xml:space="preserve">9 </w:t>
      </w:r>
      <w:r w:rsidR="002F03BA" w:rsidRPr="002F03BA">
        <w:rPr>
          <w:rFonts w:ascii="ArialMT" w:eastAsia="Times New Roman" w:hAnsi="ArialMT" w:cs="Times New Roman"/>
          <w:sz w:val="20"/>
          <w:szCs w:val="20"/>
          <w:lang w:eastAsia="pt-BR"/>
        </w:rPr>
        <w:t xml:space="preserve">Esse procedimento é contra indicado para pacientes portadores de cervicalgia axial isolada, doença multisegmentar, hérnias centrais associadas a sintomas medulares, estenose central ou quando existem sinais de instabilidade e ou deformidades que requerem correção. </w:t>
      </w:r>
      <w:r w:rsidR="002F03BA" w:rsidRPr="002F03BA">
        <w:rPr>
          <w:rFonts w:ascii="ArialMT" w:eastAsia="Times New Roman" w:hAnsi="ArialMT" w:cs="Times New Roman"/>
          <w:position w:val="8"/>
          <w:sz w:val="12"/>
          <w:szCs w:val="12"/>
          <w:lang w:eastAsia="pt-BR"/>
        </w:rPr>
        <w:t xml:space="preserve">9 </w:t>
      </w:r>
      <w:r w:rsidR="002F03BA" w:rsidRPr="002F03BA">
        <w:rPr>
          <w:rFonts w:ascii="ArialMT" w:eastAsia="Times New Roman" w:hAnsi="ArialMT" w:cs="Times New Roman"/>
          <w:sz w:val="20"/>
          <w:szCs w:val="20"/>
          <w:lang w:eastAsia="pt-BR"/>
        </w:rPr>
        <w:t>As complicações mais descritas são: hematoma epidural, lesão dural e lesão neurológica (transitória ou permanente).</w:t>
      </w:r>
      <w:r w:rsidR="002F03BA" w:rsidRPr="002F03BA">
        <w:rPr>
          <w:rFonts w:ascii="ArialMT" w:eastAsia="Times New Roman" w:hAnsi="ArialMT" w:cs="Times New Roman"/>
          <w:position w:val="8"/>
          <w:sz w:val="12"/>
          <w:szCs w:val="12"/>
          <w:lang w:eastAsia="pt-BR"/>
        </w:rPr>
        <w:t xml:space="preserve">19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 xml:space="preserve">No presente artigo relatamos um caso em que a laminoforaminotomia totalmente endoscópica foi a técnica de escolha. Porem, a despeito da boa evolução clinica pós-operatória, paciente apresentou uma hemorragia subaracnóidea não aneurismática </w:t>
      </w:r>
      <w:r w:rsidR="00692428">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pós </w:t>
      </w:r>
      <w:r w:rsidR="00692428">
        <w:rPr>
          <w:rFonts w:ascii="ArialMT" w:eastAsia="Times New Roman" w:hAnsi="ArialMT" w:cs="Times New Roman"/>
          <w:color w:val="282828"/>
          <w:sz w:val="20"/>
          <w:szCs w:val="20"/>
          <w:shd w:val="clear" w:color="auto" w:fill="FFFFFF"/>
          <w:lang w:eastAsia="pt-BR"/>
        </w:rPr>
        <w:t xml:space="preserve">o </w:t>
      </w:r>
      <w:r w:rsidRPr="002F03BA">
        <w:rPr>
          <w:rFonts w:ascii="ArialMT" w:eastAsia="Times New Roman" w:hAnsi="ArialMT" w:cs="Times New Roman"/>
          <w:color w:val="282828"/>
          <w:sz w:val="20"/>
          <w:szCs w:val="20"/>
          <w:shd w:val="clear" w:color="auto" w:fill="FFFFFF"/>
          <w:lang w:eastAsia="pt-BR"/>
        </w:rPr>
        <w:t xml:space="preserve">procedimento.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 w:eastAsia="Times New Roman" w:hAnsi="Arial" w:cs="Arial"/>
          <w:b/>
          <w:bCs/>
          <w:color w:val="282828"/>
          <w:sz w:val="20"/>
          <w:szCs w:val="20"/>
          <w:shd w:val="clear" w:color="auto" w:fill="FFFFFF"/>
          <w:lang w:eastAsia="pt-BR"/>
        </w:rPr>
        <w:t xml:space="preserve">Relato do Caso: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Paciente do sexo feminino, de 52 anos de idade, sem comorbidades prévias, procurou o pronto- atendimento com quadro de cervicobraquialgia intensa e fraqueza muscular no membro superior esquerdo. Ao exame físico apresentava sinais de comprometimento sensitivo e motor compatíveis com compressão radicular da raiz C7</w:t>
      </w:r>
      <w:r w:rsidR="00692428">
        <w:rPr>
          <w:rFonts w:ascii="ArialMT" w:eastAsia="Times New Roman" w:hAnsi="ArialMT" w:cs="Times New Roman"/>
          <w:color w:val="282828"/>
          <w:sz w:val="20"/>
          <w:szCs w:val="20"/>
          <w:shd w:val="clear" w:color="auto" w:fill="FFFFFF"/>
          <w:lang w:eastAsia="pt-BR"/>
        </w:rPr>
        <w:t xml:space="preserve"> esquerda</w:t>
      </w:r>
      <w:r w:rsidRPr="002F03BA">
        <w:rPr>
          <w:rFonts w:ascii="ArialMT" w:eastAsia="Times New Roman" w:hAnsi="ArialMT" w:cs="Times New Roman"/>
          <w:color w:val="282828"/>
          <w:sz w:val="20"/>
          <w:szCs w:val="20"/>
          <w:shd w:val="clear" w:color="auto" w:fill="FFFFFF"/>
          <w:lang w:eastAsia="pt-BR"/>
        </w:rPr>
        <w:t>. Submetida a ressonância magnética que evidenciou uma hérnia centro-lateral esquerda extrusa C6/7 com severa compressão da raiz correspondente (</w:t>
      </w:r>
      <w:r w:rsidRPr="002F03BA">
        <w:rPr>
          <w:rFonts w:ascii="Arial" w:eastAsia="Times New Roman" w:hAnsi="Arial" w:cs="Arial"/>
          <w:i/>
          <w:iCs/>
          <w:color w:val="282828"/>
          <w:sz w:val="20"/>
          <w:szCs w:val="20"/>
          <w:shd w:val="clear" w:color="auto" w:fill="FFFFFF"/>
          <w:lang w:eastAsia="pt-BR"/>
        </w:rPr>
        <w:t>fig. 1</w:t>
      </w:r>
      <w:r w:rsidRPr="002F03BA">
        <w:rPr>
          <w:rFonts w:ascii="ArialMT" w:eastAsia="Times New Roman" w:hAnsi="ArialMT" w:cs="Times New Roman"/>
          <w:color w:val="282828"/>
          <w:sz w:val="20"/>
          <w:szCs w:val="20"/>
          <w:shd w:val="clear" w:color="auto" w:fill="FFFFFF"/>
          <w:lang w:eastAsia="pt-BR"/>
        </w:rPr>
        <w:t xml:space="preserve">).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 xml:space="preserve">Devido </w:t>
      </w:r>
      <w:r w:rsidR="00203908">
        <w:rPr>
          <w:rFonts w:ascii="ArialMT" w:eastAsia="Times New Roman" w:hAnsi="ArialMT" w:cs="Times New Roman"/>
          <w:color w:val="282828"/>
          <w:sz w:val="20"/>
          <w:szCs w:val="20"/>
          <w:shd w:val="clear" w:color="auto" w:fill="FFFFFF"/>
          <w:lang w:eastAsia="pt-BR"/>
        </w:rPr>
        <w:t>à</w:t>
      </w:r>
      <w:r w:rsidRPr="002F03BA">
        <w:rPr>
          <w:rFonts w:ascii="ArialMT" w:eastAsia="Times New Roman" w:hAnsi="ArialMT" w:cs="Times New Roman"/>
          <w:color w:val="282828"/>
          <w:sz w:val="20"/>
          <w:szCs w:val="20"/>
          <w:shd w:val="clear" w:color="auto" w:fill="FFFFFF"/>
          <w:lang w:eastAsia="pt-BR"/>
        </w:rPr>
        <w:t xml:space="preserve"> presença de comprometimento sensitivo motor, dores intensas e clara correlação clinico radiológica </w:t>
      </w:r>
      <w:r w:rsidR="00203908">
        <w:rPr>
          <w:rFonts w:ascii="ArialMT" w:eastAsia="Times New Roman" w:hAnsi="ArialMT" w:cs="Times New Roman"/>
          <w:color w:val="282828"/>
          <w:sz w:val="20"/>
          <w:szCs w:val="20"/>
          <w:shd w:val="clear" w:color="auto" w:fill="FFFFFF"/>
          <w:lang w:eastAsia="pt-BR"/>
        </w:rPr>
        <w:t xml:space="preserve">foi </w:t>
      </w:r>
      <w:r w:rsidRPr="002F03BA">
        <w:rPr>
          <w:rFonts w:ascii="ArialMT" w:eastAsia="Times New Roman" w:hAnsi="ArialMT" w:cs="Times New Roman"/>
          <w:color w:val="282828"/>
          <w:sz w:val="20"/>
          <w:szCs w:val="20"/>
          <w:shd w:val="clear" w:color="auto" w:fill="FFFFFF"/>
          <w:lang w:eastAsia="pt-BR"/>
        </w:rPr>
        <w:t>optado p</w:t>
      </w:r>
      <w:r w:rsidR="00203908">
        <w:rPr>
          <w:rFonts w:ascii="ArialMT" w:eastAsia="Times New Roman" w:hAnsi="ArialMT" w:cs="Times New Roman"/>
          <w:color w:val="282828"/>
          <w:sz w:val="20"/>
          <w:szCs w:val="20"/>
          <w:shd w:val="clear" w:color="auto" w:fill="FFFFFF"/>
          <w:lang w:eastAsia="pt-BR"/>
        </w:rPr>
        <w:t>ela</w:t>
      </w:r>
      <w:r w:rsidRPr="002F03BA">
        <w:rPr>
          <w:rFonts w:ascii="ArialMT" w:eastAsia="Times New Roman" w:hAnsi="ArialMT" w:cs="Times New Roman"/>
          <w:color w:val="282828"/>
          <w:sz w:val="20"/>
          <w:szCs w:val="20"/>
          <w:shd w:val="clear" w:color="auto" w:fill="FFFFFF"/>
          <w:lang w:eastAsia="pt-BR"/>
        </w:rPr>
        <w:t xml:space="preserve"> intervenção cirúrgica. Para a escolha da técnica cirúrgica os seguintes critérios foram considerados: localização predominantemente lateral da lesão e ausência de sinais de cifose ou instabilidade segmentar. A técnica de escolha foi foraminotomia via posterior interlaminar totalmente endoscópica conforme a técnica descrita por Ruetten.</w:t>
      </w:r>
      <w:r w:rsidRPr="002F03BA">
        <w:rPr>
          <w:rFonts w:ascii="ArialMT" w:eastAsia="Times New Roman" w:hAnsi="ArialMT" w:cs="Times New Roman"/>
          <w:color w:val="282828"/>
          <w:position w:val="8"/>
          <w:sz w:val="12"/>
          <w:szCs w:val="12"/>
          <w:shd w:val="clear" w:color="auto" w:fill="FFFFFF"/>
          <w:lang w:eastAsia="pt-BR"/>
        </w:rPr>
        <w:t xml:space="preserve">11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 xml:space="preserve">Paciente submetida a anestesia geral, posicionada em decúbito ventral e flexão cefálica. Através de fluoroscopia, na projeção ântero posterior, demarcado a linha mediana e a linha sob ponto introdução do dilatador, canal de trabalho e endoscópio respectivamente. A seguir as estruturas anatômicas da janela interlaminar foram devidamente identificadas (lâminas cranial e caudal, ligamento amarelo e faceta articular). Em sequencia realizado drilagem da lâmina cranial e caudal, flavectomia, seguido da ampliação da foraminotomia lateral com </w:t>
      </w:r>
      <w:r w:rsidR="00203908">
        <w:rPr>
          <w:rFonts w:ascii="ArialMT" w:eastAsia="Times New Roman" w:hAnsi="ArialMT" w:cs="Times New Roman"/>
          <w:color w:val="282828"/>
          <w:sz w:val="20"/>
          <w:szCs w:val="20"/>
          <w:shd w:val="clear" w:color="auto" w:fill="FFFFFF"/>
          <w:lang w:eastAsia="pt-BR"/>
        </w:rPr>
        <w:t>K</w:t>
      </w:r>
      <w:r w:rsidRPr="002F03BA">
        <w:rPr>
          <w:rFonts w:ascii="ArialMT" w:eastAsia="Times New Roman" w:hAnsi="ArialMT" w:cs="Times New Roman"/>
          <w:color w:val="282828"/>
          <w:sz w:val="20"/>
          <w:szCs w:val="20"/>
          <w:shd w:val="clear" w:color="auto" w:fill="FFFFFF"/>
          <w:lang w:eastAsia="pt-BR"/>
        </w:rPr>
        <w:t>errinson. Identificado a raiz nervosa que se encontrava bastante distendida. Com aux</w:t>
      </w:r>
      <w:r w:rsidR="00203908">
        <w:rPr>
          <w:rFonts w:ascii="ArialMT" w:eastAsia="Times New Roman" w:hAnsi="ArialMT" w:cs="Times New Roman"/>
          <w:color w:val="282828"/>
          <w:sz w:val="20"/>
          <w:szCs w:val="20"/>
          <w:shd w:val="clear" w:color="auto" w:fill="FFFFFF"/>
          <w:lang w:eastAsia="pt-BR"/>
        </w:rPr>
        <w:t>í</w:t>
      </w:r>
      <w:r w:rsidRPr="002F03BA">
        <w:rPr>
          <w:rFonts w:ascii="ArialMT" w:eastAsia="Times New Roman" w:hAnsi="ArialMT" w:cs="Times New Roman"/>
          <w:color w:val="282828"/>
          <w:sz w:val="20"/>
          <w:szCs w:val="20"/>
          <w:shd w:val="clear" w:color="auto" w:fill="FFFFFF"/>
          <w:lang w:eastAsia="pt-BR"/>
        </w:rPr>
        <w:t xml:space="preserve">lio de um dissector o fragmento herniado foi delicadamente descolado da raiz e retirado com sucesso. Durante a abertura do ligamento amarelo houve um transitório sangramento de difícil controle. Após controle do sangramento identificado lesão dural de cerca de 0,3cm </w:t>
      </w:r>
      <w:r w:rsidRPr="002F03BA">
        <w:rPr>
          <w:rFonts w:ascii="Arial" w:eastAsia="Times New Roman" w:hAnsi="Arial" w:cs="Arial"/>
          <w:i/>
          <w:iCs/>
          <w:color w:val="282828"/>
          <w:sz w:val="20"/>
          <w:szCs w:val="20"/>
          <w:shd w:val="clear" w:color="auto" w:fill="FFFFFF"/>
          <w:lang w:eastAsia="pt-BR"/>
        </w:rPr>
        <w:t>(fig. 2)</w:t>
      </w:r>
      <w:r w:rsidRPr="002F03BA">
        <w:rPr>
          <w:rFonts w:ascii="ArialMT" w:eastAsia="Times New Roman" w:hAnsi="ArialMT" w:cs="Times New Roman"/>
          <w:color w:val="282828"/>
          <w:sz w:val="20"/>
          <w:szCs w:val="20"/>
          <w:shd w:val="clear" w:color="auto" w:fill="FFFFFF"/>
          <w:lang w:eastAsia="pt-BR"/>
        </w:rPr>
        <w:t xml:space="preserve">. Devido ao tamanho da laceração dural não se julgou necessário nenhum reparo naquele momento. O procedimento foi finalizado sem demais intercorrências. </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No primeiro dia de pós-operatório paciente referiu regressão total do quadro álgico, já com recuperação parcial do déficit sensitivo e motor. Entretanto apresentou queixa de cefal</w:t>
      </w:r>
      <w:r w:rsidR="00203908">
        <w:rPr>
          <w:rFonts w:ascii="ArialMT" w:eastAsia="Times New Roman" w:hAnsi="ArialMT" w:cs="Times New Roman"/>
          <w:color w:val="282828"/>
          <w:sz w:val="20"/>
          <w:szCs w:val="20"/>
          <w:shd w:val="clear" w:color="auto" w:fill="FFFFFF"/>
          <w:lang w:eastAsia="pt-BR"/>
        </w:rPr>
        <w:t>é</w:t>
      </w:r>
      <w:r w:rsidRPr="002F03BA">
        <w:rPr>
          <w:rFonts w:ascii="ArialMT" w:eastAsia="Times New Roman" w:hAnsi="ArialMT" w:cs="Times New Roman"/>
          <w:color w:val="282828"/>
          <w:sz w:val="20"/>
          <w:szCs w:val="20"/>
          <w:shd w:val="clear" w:color="auto" w:fill="FFFFFF"/>
          <w:lang w:eastAsia="pt-BR"/>
        </w:rPr>
        <w:t>ia e diplopia. Ao exame cl</w:t>
      </w:r>
      <w:r w:rsidR="00203908">
        <w:rPr>
          <w:rFonts w:ascii="ArialMT" w:eastAsia="Times New Roman" w:hAnsi="ArialMT" w:cs="Times New Roman"/>
          <w:color w:val="282828"/>
          <w:sz w:val="20"/>
          <w:szCs w:val="20"/>
          <w:shd w:val="clear" w:color="auto" w:fill="FFFFFF"/>
          <w:lang w:eastAsia="pt-BR"/>
        </w:rPr>
        <w:t>í</w:t>
      </w:r>
      <w:r w:rsidRPr="002F03BA">
        <w:rPr>
          <w:rFonts w:ascii="ArialMT" w:eastAsia="Times New Roman" w:hAnsi="ArialMT" w:cs="Times New Roman"/>
          <w:color w:val="282828"/>
          <w:sz w:val="20"/>
          <w:szCs w:val="20"/>
          <w:shd w:val="clear" w:color="auto" w:fill="FFFFFF"/>
          <w:lang w:eastAsia="pt-BR"/>
        </w:rPr>
        <w:t xml:space="preserve">nico foi constado uma discreta paresia do músculo reto lateral do olho direito caracterizando uma paresia do nervo abducente. Não foram observados sinais meníngeos </w:t>
      </w:r>
      <w:r w:rsidRPr="002F03BA">
        <w:rPr>
          <w:rFonts w:ascii="ArialMT" w:eastAsia="Times New Roman" w:hAnsi="ArialMT" w:cs="Times New Roman"/>
          <w:color w:val="282828"/>
          <w:sz w:val="20"/>
          <w:szCs w:val="20"/>
          <w:shd w:val="clear" w:color="auto" w:fill="FFFFFF"/>
          <w:lang w:eastAsia="pt-BR"/>
        </w:rPr>
        <w:lastRenderedPageBreak/>
        <w:t xml:space="preserve">naquele momento. Baseado na queixa da paciente </w:t>
      </w:r>
      <w:r w:rsidR="00203908">
        <w:rPr>
          <w:rFonts w:ascii="ArialMT" w:eastAsia="Times New Roman" w:hAnsi="ArialMT" w:cs="Times New Roman"/>
          <w:color w:val="282828"/>
          <w:sz w:val="20"/>
          <w:szCs w:val="20"/>
          <w:shd w:val="clear" w:color="auto" w:fill="FFFFFF"/>
          <w:lang w:eastAsia="pt-BR"/>
        </w:rPr>
        <w:t>foi realizada uma</w:t>
      </w:r>
      <w:r w:rsidRPr="002F03BA">
        <w:rPr>
          <w:rFonts w:ascii="ArialMT" w:eastAsia="Times New Roman" w:hAnsi="ArialMT" w:cs="Times New Roman"/>
          <w:color w:val="282828"/>
          <w:sz w:val="20"/>
          <w:szCs w:val="20"/>
          <w:shd w:val="clear" w:color="auto" w:fill="FFFFFF"/>
          <w:lang w:eastAsia="pt-BR"/>
        </w:rPr>
        <w:t xml:space="preserve"> </w:t>
      </w:r>
      <w:r w:rsidR="00203908">
        <w:rPr>
          <w:rFonts w:ascii="ArialMT" w:eastAsia="Times New Roman" w:hAnsi="ArialMT" w:cs="Times New Roman"/>
          <w:color w:val="282828"/>
          <w:sz w:val="20"/>
          <w:szCs w:val="20"/>
          <w:shd w:val="clear" w:color="auto" w:fill="FFFFFF"/>
          <w:lang w:eastAsia="pt-BR"/>
        </w:rPr>
        <w:t>t</w:t>
      </w:r>
      <w:r w:rsidRPr="002F03BA">
        <w:rPr>
          <w:rFonts w:ascii="ArialMT" w:eastAsia="Times New Roman" w:hAnsi="ArialMT" w:cs="Times New Roman"/>
          <w:color w:val="282828"/>
          <w:sz w:val="20"/>
          <w:szCs w:val="20"/>
          <w:shd w:val="clear" w:color="auto" w:fill="FFFFFF"/>
          <w:lang w:eastAsia="pt-BR"/>
        </w:rPr>
        <w:t xml:space="preserve">omografia de </w:t>
      </w:r>
      <w:r w:rsidR="00203908">
        <w:rPr>
          <w:rFonts w:ascii="ArialMT" w:eastAsia="Times New Roman" w:hAnsi="ArialMT" w:cs="Times New Roman"/>
          <w:color w:val="282828"/>
          <w:sz w:val="20"/>
          <w:szCs w:val="20"/>
          <w:shd w:val="clear" w:color="auto" w:fill="FFFFFF"/>
          <w:lang w:eastAsia="pt-BR"/>
        </w:rPr>
        <w:t>c</w:t>
      </w:r>
      <w:r w:rsidRPr="002F03BA">
        <w:rPr>
          <w:rFonts w:ascii="ArialMT" w:eastAsia="Times New Roman" w:hAnsi="ArialMT" w:cs="Times New Roman"/>
          <w:color w:val="282828"/>
          <w:sz w:val="20"/>
          <w:szCs w:val="20"/>
          <w:shd w:val="clear" w:color="auto" w:fill="FFFFFF"/>
          <w:lang w:eastAsia="pt-BR"/>
        </w:rPr>
        <w:t xml:space="preserve">rânio que revelou extensa hemorragia subaracnóidea cisternal, com extensão intraventricular e sinais de dilatação ventricular </w:t>
      </w:r>
      <w:r w:rsidRPr="002F03BA">
        <w:rPr>
          <w:rFonts w:ascii="Arial" w:eastAsia="Times New Roman" w:hAnsi="Arial" w:cs="Arial"/>
          <w:i/>
          <w:iCs/>
          <w:color w:val="282828"/>
          <w:sz w:val="20"/>
          <w:szCs w:val="20"/>
          <w:shd w:val="clear" w:color="auto" w:fill="FFFFFF"/>
          <w:lang w:eastAsia="pt-BR"/>
        </w:rPr>
        <w:t>(fig.3)</w:t>
      </w:r>
      <w:r w:rsidRPr="002F03BA">
        <w:rPr>
          <w:rFonts w:ascii="ArialMT" w:eastAsia="Times New Roman" w:hAnsi="ArialMT" w:cs="Times New Roman"/>
          <w:color w:val="282828"/>
          <w:sz w:val="20"/>
          <w:szCs w:val="20"/>
          <w:shd w:val="clear" w:color="auto" w:fill="FFFFFF"/>
          <w:lang w:eastAsia="pt-BR"/>
        </w:rPr>
        <w:t xml:space="preserve">. Diante deste achado </w:t>
      </w:r>
      <w:r w:rsidR="00203908">
        <w:rPr>
          <w:rFonts w:ascii="ArialMT" w:eastAsia="Times New Roman" w:hAnsi="ArialMT" w:cs="Times New Roman"/>
          <w:color w:val="282828"/>
          <w:sz w:val="20"/>
          <w:szCs w:val="20"/>
          <w:shd w:val="clear" w:color="auto" w:fill="FFFFFF"/>
          <w:lang w:eastAsia="pt-BR"/>
        </w:rPr>
        <w:t xml:space="preserve">foi </w:t>
      </w:r>
      <w:r w:rsidRPr="002F03BA">
        <w:rPr>
          <w:rFonts w:ascii="ArialMT" w:eastAsia="Times New Roman" w:hAnsi="ArialMT" w:cs="Times New Roman"/>
          <w:color w:val="282828"/>
          <w:sz w:val="20"/>
          <w:szCs w:val="20"/>
          <w:shd w:val="clear" w:color="auto" w:fill="FFFFFF"/>
          <w:lang w:eastAsia="pt-BR"/>
        </w:rPr>
        <w:t>solicitad</w:t>
      </w:r>
      <w:r w:rsidR="00203908">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 angiografia dos vasos intracranianos através de cateterismo femoral. Não foi detectado nenhum sinal sugestivo de aneurisma cerebral, malformações arteriovenosas, fistulas durais, tromboses ou quaisquer alterações que justificassem a origem do sangramento</w:t>
      </w:r>
      <w:r w:rsidR="00203908">
        <w:rPr>
          <w:rFonts w:ascii="ArialMT" w:eastAsia="Times New Roman" w:hAnsi="ArialMT" w:cs="Times New Roman"/>
          <w:color w:val="282828"/>
          <w:sz w:val="20"/>
          <w:szCs w:val="20"/>
          <w:shd w:val="clear" w:color="auto" w:fill="FFFFFF"/>
          <w:lang w:eastAsia="pt-BR"/>
        </w:rPr>
        <w:t>.</w:t>
      </w:r>
    </w:p>
    <w:p w:rsidR="002F03BA" w:rsidRPr="002F03BA" w:rsidRDefault="002F03BA" w:rsidP="00E666D3">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A paciente foi mantida internada em observação e tratamento sintomático. No terceiro dia de pós-operatório apresentou uma discreta rigidez de nuca. Os sintomas regrediram totalmente em torno do décimo pós-operatório e nenhuma outra ocorrência foi observada</w:t>
      </w:r>
      <w:r w:rsidR="00203908">
        <w:rPr>
          <w:rFonts w:ascii="ArialMT" w:eastAsia="Times New Roman" w:hAnsi="ArialMT" w:cs="Times New Roman"/>
          <w:color w:val="282828"/>
          <w:sz w:val="20"/>
          <w:szCs w:val="20"/>
          <w:shd w:val="clear" w:color="auto" w:fill="FFFFFF"/>
          <w:lang w:eastAsia="pt-BR"/>
        </w:rPr>
        <w:t>, sendo</w:t>
      </w:r>
      <w:r w:rsidRPr="002F03BA">
        <w:rPr>
          <w:rFonts w:ascii="ArialMT" w:eastAsia="Times New Roman" w:hAnsi="ArialMT" w:cs="Times New Roman"/>
          <w:color w:val="282828"/>
          <w:sz w:val="20"/>
          <w:szCs w:val="20"/>
          <w:shd w:val="clear" w:color="auto" w:fill="FFFFFF"/>
          <w:lang w:eastAsia="pt-BR"/>
        </w:rPr>
        <w:t xml:space="preserve"> então liberada assintomática. Em seguimento ambulatorial solicitad</w:t>
      </w:r>
      <w:r w:rsidR="00203908">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 nova </w:t>
      </w:r>
      <w:r w:rsidR="00203908">
        <w:rPr>
          <w:rFonts w:ascii="ArialMT" w:eastAsia="Times New Roman" w:hAnsi="ArialMT" w:cs="Times New Roman"/>
          <w:color w:val="282828"/>
          <w:sz w:val="20"/>
          <w:szCs w:val="20"/>
          <w:shd w:val="clear" w:color="auto" w:fill="FFFFFF"/>
          <w:lang w:eastAsia="pt-BR"/>
        </w:rPr>
        <w:t>a</w:t>
      </w:r>
      <w:r w:rsidRPr="002F03BA">
        <w:rPr>
          <w:rFonts w:ascii="ArialMT" w:eastAsia="Times New Roman" w:hAnsi="ArialMT" w:cs="Times New Roman"/>
          <w:color w:val="282828"/>
          <w:sz w:val="20"/>
          <w:szCs w:val="20"/>
          <w:shd w:val="clear" w:color="auto" w:fill="FFFFFF"/>
          <w:lang w:eastAsia="pt-BR"/>
        </w:rPr>
        <w:t xml:space="preserve">ngiotomografia </w:t>
      </w:r>
      <w:r w:rsidR="00203908">
        <w:rPr>
          <w:rFonts w:ascii="ArialMT" w:eastAsia="Times New Roman" w:hAnsi="ArialMT" w:cs="Times New Roman"/>
          <w:color w:val="282828"/>
          <w:sz w:val="20"/>
          <w:szCs w:val="20"/>
          <w:shd w:val="clear" w:color="auto" w:fill="FFFFFF"/>
          <w:lang w:eastAsia="pt-BR"/>
        </w:rPr>
        <w:t xml:space="preserve">para </w:t>
      </w:r>
      <w:r w:rsidRPr="002F03BA">
        <w:rPr>
          <w:rFonts w:ascii="ArialMT" w:eastAsia="Times New Roman" w:hAnsi="ArialMT" w:cs="Times New Roman"/>
          <w:color w:val="282828"/>
          <w:sz w:val="20"/>
          <w:szCs w:val="20"/>
          <w:shd w:val="clear" w:color="auto" w:fill="FFFFFF"/>
          <w:lang w:eastAsia="pt-BR"/>
        </w:rPr>
        <w:t xml:space="preserve">controle que se apresentou normal. </w:t>
      </w:r>
    </w:p>
    <w:tbl>
      <w:tblPr>
        <w:tblW w:w="0" w:type="auto"/>
        <w:tblCellMar>
          <w:top w:w="15" w:type="dxa"/>
          <w:left w:w="15" w:type="dxa"/>
          <w:bottom w:w="15" w:type="dxa"/>
          <w:right w:w="15" w:type="dxa"/>
        </w:tblCellMar>
        <w:tblLook w:val="04A0" w:firstRow="1" w:lastRow="0" w:firstColumn="1" w:lastColumn="0" w:noHBand="0" w:noVBand="1"/>
      </w:tblPr>
      <w:tblGrid>
        <w:gridCol w:w="36"/>
        <w:gridCol w:w="720"/>
      </w:tblGrid>
      <w:tr w:rsidR="00203908" w:rsidRPr="002F03BA" w:rsidTr="002F03BA">
        <w:tc>
          <w:tcPr>
            <w:tcW w:w="0" w:type="auto"/>
            <w:tcBorders>
              <w:top w:val="single" w:sz="2" w:space="0" w:color="000000"/>
              <w:left w:val="single" w:sz="2" w:space="0" w:color="auto"/>
              <w:bottom w:val="single" w:sz="2" w:space="0" w:color="000000"/>
              <w:right w:val="single" w:sz="2" w:space="0" w:color="000000"/>
            </w:tcBorders>
            <w:shd w:val="clear" w:color="auto" w:fill="FFFFFF"/>
            <w:vAlign w:val="center"/>
            <w:hideMark/>
          </w:tcPr>
          <w:p w:rsidR="00203908" w:rsidRPr="002F03BA" w:rsidRDefault="00203908" w:rsidP="002F03BA">
            <w:pPr>
              <w:spacing w:before="100" w:beforeAutospacing="1" w:after="100" w:afterAutospacing="1"/>
              <w:rPr>
                <w:rFonts w:ascii="Times New Roman" w:eastAsia="Times New Roman" w:hAnsi="Times New Roman" w:cs="Times New Roman"/>
                <w:lang w:eastAsia="pt-BR"/>
              </w:rPr>
            </w:pPr>
          </w:p>
        </w:tc>
        <w:tc>
          <w:tcPr>
            <w:tcW w:w="0" w:type="auto"/>
            <w:tcBorders>
              <w:top w:val="single" w:sz="2" w:space="0" w:color="000000"/>
              <w:left w:val="single" w:sz="2" w:space="0" w:color="000000"/>
              <w:bottom w:val="single" w:sz="2" w:space="0" w:color="000000"/>
              <w:right w:val="single" w:sz="2" w:space="0" w:color="000000"/>
            </w:tcBorders>
            <w:shd w:val="clear" w:color="auto" w:fill="FFFF00"/>
            <w:vAlign w:val="center"/>
            <w:hideMark/>
          </w:tcPr>
          <w:p w:rsidR="00203908" w:rsidRPr="002F03BA" w:rsidRDefault="00203908" w:rsidP="002F03BA">
            <w:pPr>
              <w:spacing w:before="100" w:beforeAutospacing="1" w:after="100" w:afterAutospacing="1"/>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lang w:eastAsia="pt-BR"/>
              </w:rPr>
              <w:t xml:space="preserve">(figura). </w:t>
            </w:r>
          </w:p>
        </w:tc>
      </w:tr>
    </w:tbl>
    <w:p w:rsidR="00CD77D0" w:rsidRDefault="002F03BA" w:rsidP="00CD77D0">
      <w:pPr>
        <w:rPr>
          <w:rFonts w:ascii="Times New Roman" w:eastAsia="Times New Roman" w:hAnsi="Times New Roman" w:cs="Times New Roman"/>
          <w:lang w:eastAsia="pt-BR"/>
        </w:rPr>
      </w:pPr>
      <w:r w:rsidRPr="002F03BA">
        <w:rPr>
          <w:rFonts w:ascii="Times New Roman" w:eastAsia="Times New Roman" w:hAnsi="Times New Roman" w:cs="Times New Roman"/>
          <w:lang w:eastAsia="pt-BR"/>
        </w:rPr>
        <w:fldChar w:fldCharType="begin"/>
      </w:r>
      <w:r w:rsidRPr="002F03BA">
        <w:rPr>
          <w:rFonts w:ascii="Times New Roman" w:eastAsia="Times New Roman" w:hAnsi="Times New Roman" w:cs="Times New Roman"/>
          <w:lang w:eastAsia="pt-BR"/>
        </w:rPr>
        <w:instrText xml:space="preserve"> INCLUDEPICTURE "/var/folders/zr/lf8hv2f13jg2xf4gnl7m83s40000gn/T/com.microsoft.Word/WebArchiveCopyPasteTempFiles/page6image149319664" \* MERGEFORMATINET </w:instrText>
      </w:r>
      <w:r w:rsidRPr="002F03BA">
        <w:rPr>
          <w:rFonts w:ascii="Times New Roman" w:eastAsia="Times New Roman" w:hAnsi="Times New Roman" w:cs="Times New Roman"/>
          <w:lang w:eastAsia="pt-BR"/>
        </w:rPr>
        <w:fldChar w:fldCharType="separate"/>
      </w:r>
      <w:r w:rsidRPr="002F03BA">
        <w:rPr>
          <w:rFonts w:ascii="Times New Roman" w:eastAsia="Times New Roman" w:hAnsi="Times New Roman" w:cs="Times New Roman"/>
          <w:noProof/>
          <w:lang w:eastAsia="pt-BR"/>
        </w:rPr>
        <w:drawing>
          <wp:inline distT="0" distB="0" distL="0" distR="0">
            <wp:extent cx="1957070" cy="1993265"/>
            <wp:effectExtent l="0" t="0" r="0" b="635"/>
            <wp:docPr id="41" name="Imagem 41" descr="page6image149319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ge6image14931966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57070" cy="1993265"/>
                    </a:xfrm>
                    <a:prstGeom prst="rect">
                      <a:avLst/>
                    </a:prstGeom>
                    <a:noFill/>
                    <a:ln>
                      <a:noFill/>
                    </a:ln>
                  </pic:spPr>
                </pic:pic>
              </a:graphicData>
            </a:graphic>
          </wp:inline>
        </w:drawing>
      </w:r>
      <w:r w:rsidRPr="002F03BA">
        <w:rPr>
          <w:rFonts w:ascii="Times New Roman" w:eastAsia="Times New Roman" w:hAnsi="Times New Roman" w:cs="Times New Roman"/>
          <w:lang w:eastAsia="pt-BR"/>
        </w:rPr>
        <w:fldChar w:fldCharType="end"/>
      </w:r>
      <w:r w:rsidRPr="002F03BA">
        <w:rPr>
          <w:rFonts w:ascii="Times New Roman" w:eastAsia="Times New Roman" w:hAnsi="Times New Roman" w:cs="Times New Roman"/>
          <w:lang w:eastAsia="pt-BR"/>
        </w:rPr>
        <w:fldChar w:fldCharType="begin"/>
      </w:r>
      <w:r w:rsidRPr="002F03BA">
        <w:rPr>
          <w:rFonts w:ascii="Times New Roman" w:eastAsia="Times New Roman" w:hAnsi="Times New Roman" w:cs="Times New Roman"/>
          <w:lang w:eastAsia="pt-BR"/>
        </w:rPr>
        <w:instrText xml:space="preserve"> INCLUDEPICTURE "/var/folders/zr/lf8hv2f13jg2xf4gnl7m83s40000gn/T/com.microsoft.Word/WebArchiveCopyPasteTempFiles/page6image149310096" \* MERGEFORMATINET </w:instrText>
      </w:r>
      <w:r w:rsidRPr="002F03BA">
        <w:rPr>
          <w:rFonts w:ascii="Times New Roman" w:eastAsia="Times New Roman" w:hAnsi="Times New Roman" w:cs="Times New Roman"/>
          <w:lang w:eastAsia="pt-BR"/>
        </w:rPr>
        <w:fldChar w:fldCharType="separate"/>
      </w:r>
      <w:r w:rsidRPr="002F03BA">
        <w:rPr>
          <w:rFonts w:ascii="Times New Roman" w:eastAsia="Times New Roman" w:hAnsi="Times New Roman" w:cs="Times New Roman"/>
          <w:noProof/>
          <w:lang w:eastAsia="pt-BR"/>
        </w:rPr>
        <w:drawing>
          <wp:inline distT="0" distB="0" distL="0" distR="0">
            <wp:extent cx="2237105" cy="1901825"/>
            <wp:effectExtent l="0" t="0" r="0" b="3175"/>
            <wp:docPr id="40" name="Imagem 40" descr="page6image149310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ge6image1493100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237105" cy="1901825"/>
                    </a:xfrm>
                    <a:prstGeom prst="rect">
                      <a:avLst/>
                    </a:prstGeom>
                    <a:noFill/>
                    <a:ln>
                      <a:noFill/>
                    </a:ln>
                  </pic:spPr>
                </pic:pic>
              </a:graphicData>
            </a:graphic>
          </wp:inline>
        </w:drawing>
      </w:r>
      <w:r w:rsidRPr="002F03BA">
        <w:rPr>
          <w:rFonts w:ascii="Times New Roman" w:eastAsia="Times New Roman" w:hAnsi="Times New Roman" w:cs="Times New Roman"/>
          <w:lang w:eastAsia="pt-BR"/>
        </w:rPr>
        <w:fldChar w:fldCharType="end"/>
      </w:r>
    </w:p>
    <w:p w:rsidR="00CD77D0" w:rsidRDefault="00CD77D0" w:rsidP="00CD77D0">
      <w:pPr>
        <w:rPr>
          <w:rFonts w:ascii="Arial" w:eastAsia="Times New Roman" w:hAnsi="Arial" w:cs="Arial"/>
          <w:i/>
          <w:iCs/>
          <w:lang w:eastAsia="pt-BR"/>
        </w:rPr>
      </w:pPr>
    </w:p>
    <w:p w:rsidR="002F03BA" w:rsidRPr="002F03BA" w:rsidRDefault="002F03BA" w:rsidP="00CD77D0">
      <w:pPr>
        <w:rPr>
          <w:rFonts w:ascii="Times New Roman" w:eastAsia="Times New Roman" w:hAnsi="Times New Roman" w:cs="Times New Roman"/>
          <w:lang w:eastAsia="pt-BR"/>
        </w:rPr>
      </w:pPr>
      <w:r w:rsidRPr="002F03BA">
        <w:rPr>
          <w:rFonts w:ascii="Arial" w:eastAsia="Times New Roman" w:hAnsi="Arial" w:cs="Arial"/>
          <w:i/>
          <w:iCs/>
          <w:lang w:eastAsia="pt-BR"/>
        </w:rPr>
        <w:t xml:space="preserve"> </w:t>
      </w:r>
    </w:p>
    <w:p w:rsidR="002F03BA" w:rsidRPr="002F03BA" w:rsidRDefault="002F03BA" w:rsidP="00CD77D0">
      <w:pPr>
        <w:rPr>
          <w:rFonts w:ascii="Times New Roman" w:eastAsia="Times New Roman" w:hAnsi="Times New Roman" w:cs="Times New Roman"/>
          <w:lang w:eastAsia="pt-BR"/>
        </w:rPr>
      </w:pPr>
      <w:r w:rsidRPr="002F03BA">
        <w:rPr>
          <w:rFonts w:ascii="Times New Roman" w:eastAsia="Times New Roman" w:hAnsi="Times New Roman" w:cs="Times New Roman"/>
          <w:lang w:eastAsia="pt-BR"/>
        </w:rPr>
        <w:fldChar w:fldCharType="begin"/>
      </w:r>
      <w:r w:rsidRPr="002F03BA">
        <w:rPr>
          <w:rFonts w:ascii="Times New Roman" w:eastAsia="Times New Roman" w:hAnsi="Times New Roman" w:cs="Times New Roman"/>
          <w:lang w:eastAsia="pt-BR"/>
        </w:rPr>
        <w:instrText xml:space="preserve"> INCLUDEPICTURE "/var/folders/zr/lf8hv2f13jg2xf4gnl7m83s40000gn/T/com.microsoft.Word/WebArchiveCopyPasteTempFiles/page6image149309680" \* MERGEFORMATINET </w:instrText>
      </w:r>
      <w:r w:rsidRPr="002F03BA">
        <w:rPr>
          <w:rFonts w:ascii="Times New Roman" w:eastAsia="Times New Roman" w:hAnsi="Times New Roman" w:cs="Times New Roman"/>
          <w:lang w:eastAsia="pt-BR"/>
        </w:rPr>
        <w:fldChar w:fldCharType="separate"/>
      </w:r>
      <w:r w:rsidRPr="002F03BA">
        <w:rPr>
          <w:rFonts w:ascii="Times New Roman" w:eastAsia="Times New Roman" w:hAnsi="Times New Roman" w:cs="Times New Roman"/>
          <w:noProof/>
          <w:lang w:eastAsia="pt-BR"/>
        </w:rPr>
        <w:drawing>
          <wp:inline distT="0" distB="0" distL="0" distR="0">
            <wp:extent cx="1944370" cy="1804670"/>
            <wp:effectExtent l="0" t="0" r="0" b="0"/>
            <wp:docPr id="39" name="Imagem 39" descr="page6image149309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age6image14930968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44370" cy="1804670"/>
                    </a:xfrm>
                    <a:prstGeom prst="rect">
                      <a:avLst/>
                    </a:prstGeom>
                    <a:noFill/>
                    <a:ln>
                      <a:noFill/>
                    </a:ln>
                  </pic:spPr>
                </pic:pic>
              </a:graphicData>
            </a:graphic>
          </wp:inline>
        </w:drawing>
      </w:r>
      <w:r w:rsidRPr="002F03BA">
        <w:rPr>
          <w:rFonts w:ascii="Times New Roman" w:eastAsia="Times New Roman" w:hAnsi="Times New Roman" w:cs="Times New Roman"/>
          <w:lang w:eastAsia="pt-BR"/>
        </w:rPr>
        <w:fldChar w:fldCharType="end"/>
      </w:r>
      <w:r w:rsidRPr="002F03BA">
        <w:rPr>
          <w:rFonts w:ascii="Times New Roman" w:eastAsia="Times New Roman" w:hAnsi="Times New Roman" w:cs="Times New Roman"/>
          <w:lang w:eastAsia="pt-BR"/>
        </w:rPr>
        <w:fldChar w:fldCharType="begin"/>
      </w:r>
      <w:r w:rsidRPr="002F03BA">
        <w:rPr>
          <w:rFonts w:ascii="Times New Roman" w:eastAsia="Times New Roman" w:hAnsi="Times New Roman" w:cs="Times New Roman"/>
          <w:lang w:eastAsia="pt-BR"/>
        </w:rPr>
        <w:instrText xml:space="preserve"> INCLUDEPICTURE "/var/folders/zr/lf8hv2f13jg2xf4gnl7m83s40000gn/T/com.microsoft.Word/WebArchiveCopyPasteTempFiles/page6image149315920" \* MERGEFORMATINET </w:instrText>
      </w:r>
      <w:r w:rsidRPr="002F03BA">
        <w:rPr>
          <w:rFonts w:ascii="Times New Roman" w:eastAsia="Times New Roman" w:hAnsi="Times New Roman" w:cs="Times New Roman"/>
          <w:lang w:eastAsia="pt-BR"/>
        </w:rPr>
        <w:fldChar w:fldCharType="separate"/>
      </w:r>
      <w:r w:rsidRPr="002F03BA">
        <w:rPr>
          <w:rFonts w:ascii="Times New Roman" w:eastAsia="Times New Roman" w:hAnsi="Times New Roman" w:cs="Times New Roman"/>
          <w:noProof/>
          <w:lang w:eastAsia="pt-BR"/>
        </w:rPr>
        <w:drawing>
          <wp:inline distT="0" distB="0" distL="0" distR="0">
            <wp:extent cx="2322830" cy="1737360"/>
            <wp:effectExtent l="0" t="0" r="1270" b="2540"/>
            <wp:docPr id="38" name="Imagem 38" descr="page6image149315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age6image14931592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2830" cy="1737360"/>
                    </a:xfrm>
                    <a:prstGeom prst="rect">
                      <a:avLst/>
                    </a:prstGeom>
                    <a:noFill/>
                    <a:ln>
                      <a:noFill/>
                    </a:ln>
                  </pic:spPr>
                </pic:pic>
              </a:graphicData>
            </a:graphic>
          </wp:inline>
        </w:drawing>
      </w:r>
      <w:r w:rsidRPr="002F03BA">
        <w:rPr>
          <w:rFonts w:ascii="Times New Roman" w:eastAsia="Times New Roman" w:hAnsi="Times New Roman" w:cs="Times New Roman"/>
          <w:lang w:eastAsia="pt-BR"/>
        </w:rPr>
        <w:fldChar w:fldCharType="end"/>
      </w:r>
    </w:p>
    <w:p w:rsidR="002F03BA" w:rsidRPr="002F03BA" w:rsidRDefault="002F03BA" w:rsidP="002F03BA">
      <w:pPr>
        <w:spacing w:before="100" w:beforeAutospacing="1" w:after="100" w:afterAutospacing="1"/>
        <w:rPr>
          <w:rFonts w:ascii="Times New Roman" w:eastAsia="Times New Roman" w:hAnsi="Times New Roman" w:cs="Times New Roman"/>
          <w:lang w:eastAsia="pt-BR"/>
        </w:rPr>
      </w:pPr>
      <w:r w:rsidRPr="002F03BA">
        <w:rPr>
          <w:rFonts w:ascii="Arial" w:eastAsia="Times New Roman" w:hAnsi="Arial" w:cs="Arial"/>
          <w:b/>
          <w:bCs/>
          <w:color w:val="282828"/>
          <w:sz w:val="20"/>
          <w:szCs w:val="20"/>
          <w:shd w:val="clear" w:color="auto" w:fill="FFFFFF"/>
          <w:lang w:eastAsia="pt-BR"/>
        </w:rPr>
        <w:t xml:space="preserve">DISCUSSÃO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color w:val="282828"/>
          <w:sz w:val="20"/>
          <w:szCs w:val="20"/>
          <w:shd w:val="clear" w:color="auto" w:fill="FFFFFF"/>
          <w:lang w:eastAsia="pt-BR"/>
        </w:rPr>
        <w:t xml:space="preserve">Dados recentes da literatura demonstram que a laminoforaminotomia posterior totalmente endoscópica é um procedimento seguro e eficaz no tratamento dos pacientes portadores de </w:t>
      </w:r>
      <w:r w:rsidRPr="002F03BA">
        <w:rPr>
          <w:rFonts w:ascii="ArialMT" w:eastAsia="Times New Roman" w:hAnsi="ArialMT" w:cs="Times New Roman"/>
          <w:sz w:val="20"/>
          <w:szCs w:val="20"/>
          <w:lang w:eastAsia="pt-BR"/>
        </w:rPr>
        <w:t xml:space="preserve">discopatia cervical sintomática associada a radiculopatia. </w:t>
      </w:r>
      <w:r w:rsidRPr="002F03BA">
        <w:rPr>
          <w:rFonts w:ascii="ArialMT" w:eastAsia="Times New Roman" w:hAnsi="ArialMT" w:cs="Times New Roman"/>
          <w:position w:val="8"/>
          <w:sz w:val="12"/>
          <w:szCs w:val="12"/>
          <w:lang w:eastAsia="pt-BR"/>
        </w:rPr>
        <w:t>9</w:t>
      </w:r>
      <w:r w:rsidR="00203908">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11</w:t>
      </w:r>
      <w:r w:rsidR="0020390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18</w:t>
      </w:r>
      <w:r w:rsidR="00203908">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 xml:space="preserve">19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Um estudo prospectivo, randomizado e controlado, comparou a foraminotomia totalmente endoscópica à dissectomia anterior associada a fusão. Nesse trabalho, 87,4% dos pacientes submetidos ao tratamento cirúrgico apresentaram melhora completa das dores radiculares, e 9,2% apresentaram dores radiculares ocasionais. Não houve diferença estatística entre as técnicas no que tange a melhora dos sintomas radiculares, tanto no resultado imediato quanto no tardio. Também não houve diferenças estatísticas nas taxas de complicações e revisões pós-operatórias durante o período observado. Os pacientes do grupo endoscópico, entretanto, apresentaram menor consumo de analgésicos no pós-operatório, menor</w:t>
      </w:r>
      <w:r w:rsidR="009E5965">
        <w:rPr>
          <w:rFonts w:ascii="ArialMT" w:eastAsia="Times New Roman" w:hAnsi="ArialMT" w:cs="Times New Roman"/>
          <w:sz w:val="20"/>
          <w:szCs w:val="20"/>
          <w:lang w:eastAsia="pt-BR"/>
        </w:rPr>
        <w:t>es</w:t>
      </w:r>
      <w:r w:rsidRPr="002F03BA">
        <w:rPr>
          <w:rFonts w:ascii="ArialMT" w:eastAsia="Times New Roman" w:hAnsi="ArialMT" w:cs="Times New Roman"/>
          <w:sz w:val="20"/>
          <w:szCs w:val="20"/>
          <w:lang w:eastAsia="pt-BR"/>
        </w:rPr>
        <w:t xml:space="preserve"> tempo</w:t>
      </w:r>
      <w:r w:rsidR="009E5965">
        <w:rPr>
          <w:rFonts w:ascii="ArialMT" w:eastAsia="Times New Roman" w:hAnsi="ArialMT" w:cs="Times New Roman"/>
          <w:sz w:val="20"/>
          <w:szCs w:val="20"/>
          <w:lang w:eastAsia="pt-BR"/>
        </w:rPr>
        <w:t>s</w:t>
      </w:r>
      <w:r w:rsidRPr="002F03BA">
        <w:rPr>
          <w:rFonts w:ascii="ArialMT" w:eastAsia="Times New Roman" w:hAnsi="ArialMT" w:cs="Times New Roman"/>
          <w:sz w:val="20"/>
          <w:szCs w:val="20"/>
          <w:lang w:eastAsia="pt-BR"/>
        </w:rPr>
        <w:t xml:space="preserve"> cirúrgico, de hospitalização, </w:t>
      </w:r>
      <w:r w:rsidR="009E5965">
        <w:rPr>
          <w:rFonts w:ascii="ArialMT" w:eastAsia="Times New Roman" w:hAnsi="ArialMT" w:cs="Times New Roman"/>
          <w:sz w:val="20"/>
          <w:szCs w:val="20"/>
          <w:lang w:eastAsia="pt-BR"/>
        </w:rPr>
        <w:t>e</w:t>
      </w:r>
      <w:r w:rsidRPr="002F03BA">
        <w:rPr>
          <w:rFonts w:ascii="ArialMT" w:eastAsia="Times New Roman" w:hAnsi="ArialMT" w:cs="Times New Roman"/>
          <w:sz w:val="20"/>
          <w:szCs w:val="20"/>
          <w:lang w:eastAsia="pt-BR"/>
        </w:rPr>
        <w:t xml:space="preserve"> de reabilitação e um retorno mais precoce para às suas atividades diárias. Nenhum paciente apresentou piora neurológica, piora de dor cervical ou evoluiu com sinais de </w:t>
      </w:r>
      <w:r w:rsidRPr="002F03BA">
        <w:rPr>
          <w:rFonts w:ascii="ArialMT" w:eastAsia="Times New Roman" w:hAnsi="ArialMT" w:cs="Times New Roman"/>
          <w:sz w:val="20"/>
          <w:szCs w:val="20"/>
          <w:lang w:eastAsia="pt-BR"/>
        </w:rPr>
        <w:lastRenderedPageBreak/>
        <w:t>instabilidade</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pós-operatória em ambos os grupos</w:t>
      </w:r>
      <w:r w:rsidR="009E5965">
        <w:rPr>
          <w:rFonts w:ascii="ArialMT" w:eastAsia="Times New Roman" w:hAnsi="ArialMT" w:cs="Times New Roman"/>
          <w:sz w:val="20"/>
          <w:szCs w:val="20"/>
          <w:lang w:eastAsia="pt-BR"/>
        </w:rPr>
        <w:t>.</w:t>
      </w:r>
      <w:r w:rsidRPr="002F03BA">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sz w:val="20"/>
          <w:szCs w:val="20"/>
          <w:lang w:eastAsia="pt-BR"/>
        </w:rPr>
        <w:t>Também não houve relato de outras complicações como lesão dural ou hemorragia pós-operatória.</w:t>
      </w:r>
      <w:r w:rsidRPr="002F03BA">
        <w:rPr>
          <w:rFonts w:ascii="ArialMT" w:eastAsia="Times New Roman" w:hAnsi="ArialMT" w:cs="Times New Roman"/>
          <w:position w:val="8"/>
          <w:sz w:val="12"/>
          <w:szCs w:val="12"/>
          <w:lang w:eastAsia="pt-BR"/>
        </w:rPr>
        <w:t xml:space="preserve">18 </w:t>
      </w:r>
      <w:r w:rsidRPr="002F03BA">
        <w:rPr>
          <w:rFonts w:ascii="ArialMT" w:eastAsia="Times New Roman" w:hAnsi="ArialMT" w:cs="Times New Roman"/>
          <w:sz w:val="20"/>
          <w:szCs w:val="20"/>
          <w:lang w:eastAsia="pt-BR"/>
        </w:rPr>
        <w:t>S</w:t>
      </w:r>
      <w:r w:rsidR="009E5965">
        <w:rPr>
          <w:rFonts w:ascii="ArialMT" w:eastAsia="Times New Roman" w:hAnsi="ArialMT" w:cs="Times New Roman"/>
          <w:sz w:val="20"/>
          <w:szCs w:val="20"/>
          <w:lang w:eastAsia="pt-BR"/>
        </w:rPr>
        <w:t>é</w:t>
      </w:r>
      <w:r w:rsidRPr="002F03BA">
        <w:rPr>
          <w:rFonts w:ascii="ArialMT" w:eastAsia="Times New Roman" w:hAnsi="ArialMT" w:cs="Times New Roman"/>
          <w:sz w:val="20"/>
          <w:szCs w:val="20"/>
          <w:lang w:eastAsia="pt-BR"/>
        </w:rPr>
        <w:t>ries de outros autores também demonstraram taxa de sucesso elevada</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 xml:space="preserve">combinada a um baixo índice de complicações e revisões. </w:t>
      </w:r>
      <w:r w:rsidRPr="002F03BA">
        <w:rPr>
          <w:rFonts w:ascii="ArialMT" w:eastAsia="Times New Roman" w:hAnsi="ArialMT" w:cs="Times New Roman"/>
          <w:position w:val="8"/>
          <w:sz w:val="12"/>
          <w:szCs w:val="12"/>
          <w:lang w:eastAsia="pt-BR"/>
        </w:rPr>
        <w:t>20</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21</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22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Na literatura encontramos uma revisão sistemática que avaliou 9 estudos e reuniu 1643 pacientes submetidos a laminoforaminotomias posteriores totalmente endoscópicas. A taxa de complicações geral encontrada foi de 4,6%, sendo que a taxa de revisão de 3,4%.</w:t>
      </w:r>
      <w:r w:rsidRPr="002F03BA">
        <w:rPr>
          <w:rFonts w:ascii="ArialMT" w:eastAsia="Times New Roman" w:hAnsi="ArialMT" w:cs="Times New Roman"/>
          <w:position w:val="8"/>
          <w:sz w:val="12"/>
          <w:szCs w:val="12"/>
          <w:lang w:eastAsia="pt-BR"/>
        </w:rPr>
        <w:t xml:space="preserve">22 </w:t>
      </w:r>
      <w:r w:rsidRPr="002F03BA">
        <w:rPr>
          <w:rFonts w:ascii="ArialMT" w:eastAsia="Times New Roman" w:hAnsi="ArialMT" w:cs="Times New Roman"/>
          <w:sz w:val="20"/>
          <w:szCs w:val="20"/>
          <w:lang w:eastAsia="pt-BR"/>
        </w:rPr>
        <w:t>As complicações descritas foram: disestesias transitórias (mais frequente), déficits radiculares transitórios e permanentes, hematoma epidural pós operatório, lesão dural e dores radiculares residual.</w:t>
      </w:r>
      <w:r w:rsidRPr="002F03BA">
        <w:rPr>
          <w:rFonts w:ascii="ArialMT" w:eastAsia="Times New Roman" w:hAnsi="ArialMT" w:cs="Times New Roman"/>
          <w:position w:val="8"/>
          <w:sz w:val="12"/>
          <w:szCs w:val="12"/>
          <w:lang w:eastAsia="pt-BR"/>
        </w:rPr>
        <w:t xml:space="preserve">22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Até o presente momento não há nenhum relato na literatura de hemorragia intracraniana espontânea ou paresia do nervo abducente após cirurgia totalmente endoscópica da coluna como no caso aqui relatado.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Entretanto, existem relatos na literatura de paralisia transitória do nervo abducente no pós- operatório de cirurgias espinhais. </w:t>
      </w:r>
      <w:r w:rsidRPr="002F03BA">
        <w:rPr>
          <w:rFonts w:ascii="ArialMT" w:eastAsia="Times New Roman" w:hAnsi="ArialMT" w:cs="Times New Roman"/>
          <w:position w:val="8"/>
          <w:sz w:val="12"/>
          <w:szCs w:val="12"/>
          <w:lang w:eastAsia="pt-BR"/>
        </w:rPr>
        <w:t>23</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24</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25</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26</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27</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28</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29 </w:t>
      </w:r>
      <w:r w:rsidRPr="002F03BA">
        <w:rPr>
          <w:rFonts w:ascii="ArialMT" w:eastAsia="Times New Roman" w:hAnsi="ArialMT" w:cs="Times New Roman"/>
          <w:sz w:val="20"/>
          <w:szCs w:val="20"/>
          <w:lang w:eastAsia="pt-BR"/>
        </w:rPr>
        <w:t>Em todos os casos relatados, a disfunção do nervo abducente esteve associada com lesão dural intra operatória e consequente hipotensão liquórica. Os sinais clínicos de hipotensão liquórica são variáveis e podem incluir cefal</w:t>
      </w:r>
      <w:r w:rsidR="009E5965">
        <w:rPr>
          <w:rFonts w:ascii="ArialMT" w:eastAsia="Times New Roman" w:hAnsi="ArialMT" w:cs="Times New Roman"/>
          <w:sz w:val="20"/>
          <w:szCs w:val="20"/>
          <w:lang w:eastAsia="pt-BR"/>
        </w:rPr>
        <w:t>é</w:t>
      </w:r>
      <w:r w:rsidRPr="002F03BA">
        <w:rPr>
          <w:rFonts w:ascii="ArialMT" w:eastAsia="Times New Roman" w:hAnsi="ArialMT" w:cs="Times New Roman"/>
          <w:sz w:val="20"/>
          <w:szCs w:val="20"/>
          <w:lang w:eastAsia="pt-BR"/>
        </w:rPr>
        <w:t>ias posturais, diplopia, tonturas e paresias de nervos cranianos, sendo a disfunção do nervo abducente a mais comumente encontrada.</w:t>
      </w:r>
      <w:r w:rsidRPr="002F03BA">
        <w:rPr>
          <w:rFonts w:ascii="ArialMT" w:eastAsia="Times New Roman" w:hAnsi="ArialMT" w:cs="Times New Roman"/>
          <w:position w:val="8"/>
          <w:sz w:val="12"/>
          <w:szCs w:val="12"/>
          <w:lang w:eastAsia="pt-BR"/>
        </w:rPr>
        <w:t xml:space="preserve">23 </w:t>
      </w:r>
      <w:r w:rsidRPr="002F03BA">
        <w:rPr>
          <w:rFonts w:ascii="ArialMT" w:eastAsia="Times New Roman" w:hAnsi="ArialMT" w:cs="Times New Roman"/>
          <w:sz w:val="20"/>
          <w:szCs w:val="20"/>
          <w:lang w:eastAsia="pt-BR"/>
        </w:rPr>
        <w:t>Esse fato ocorre devido as características anatômicas desse par craniano que percorre um longo trajeto ao longo da borda livre da tenda e das porções médio basais do lobo temporal. Dessa forma tanto em situações de hipertensão intracraniana, quanto nos casos de hipotensão intracraniana pode haver compressão extrínseca desse par craniano, o que leva à sua disfunção.</w:t>
      </w:r>
      <w:r w:rsidRPr="002F03BA">
        <w:rPr>
          <w:rFonts w:ascii="ArialMT" w:eastAsia="Times New Roman" w:hAnsi="ArialMT" w:cs="Times New Roman"/>
          <w:position w:val="8"/>
          <w:sz w:val="12"/>
          <w:szCs w:val="12"/>
          <w:lang w:eastAsia="pt-BR"/>
        </w:rPr>
        <w:t xml:space="preserve">24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Em revisão sistemática da literatura, 24 citações e 27 ocorrências de disfunção neurológica associadas a fistula dural e hipotensão liquórica foram analisadas. </w:t>
      </w:r>
      <w:r w:rsidRPr="002F03BA">
        <w:rPr>
          <w:rFonts w:ascii="ArialMT" w:eastAsia="Times New Roman" w:hAnsi="ArialMT" w:cs="Times New Roman"/>
          <w:position w:val="8"/>
          <w:sz w:val="12"/>
          <w:szCs w:val="12"/>
          <w:lang w:eastAsia="pt-BR"/>
        </w:rPr>
        <w:t xml:space="preserve">23 </w:t>
      </w:r>
      <w:r w:rsidRPr="002F03BA">
        <w:rPr>
          <w:rFonts w:ascii="ArialMT" w:eastAsia="Times New Roman" w:hAnsi="ArialMT" w:cs="Times New Roman"/>
          <w:sz w:val="20"/>
          <w:szCs w:val="20"/>
          <w:lang w:eastAsia="pt-BR"/>
        </w:rPr>
        <w:t>Eventos neurológicos graves foram relatados, tais como choque neurogênico, hemorragias intracranianas diversas, edema cerebral, convulsões, déficits neurológicos, coma profundo e até óbito.</w:t>
      </w:r>
      <w:r w:rsidRPr="002F03BA">
        <w:rPr>
          <w:rFonts w:ascii="ArialMT" w:eastAsia="Times New Roman" w:hAnsi="ArialMT" w:cs="Times New Roman"/>
          <w:position w:val="8"/>
          <w:sz w:val="12"/>
          <w:szCs w:val="12"/>
          <w:lang w:eastAsia="pt-BR"/>
        </w:rPr>
        <w:t xml:space="preserve">23 </w:t>
      </w:r>
      <w:r w:rsidRPr="002F03BA">
        <w:rPr>
          <w:rFonts w:ascii="ArialMT" w:eastAsia="Times New Roman" w:hAnsi="ArialMT" w:cs="Times New Roman"/>
          <w:sz w:val="20"/>
          <w:szCs w:val="20"/>
          <w:lang w:eastAsia="pt-BR"/>
        </w:rPr>
        <w:t xml:space="preserve">Acredita-se que nos casos severos, os gradientes de pressão liquórica negativos levam a tração excessiva de elementos neurais e vasculares, o que por sua vez acarretam hemorragias cerebrais, herniações cerebrais e reflexos vasovagais. </w:t>
      </w:r>
      <w:r w:rsidRPr="002F03BA">
        <w:rPr>
          <w:rFonts w:ascii="ArialMT" w:eastAsia="Times New Roman" w:hAnsi="ArialMT" w:cs="Times New Roman"/>
          <w:position w:val="8"/>
          <w:sz w:val="12"/>
          <w:szCs w:val="12"/>
          <w:lang w:eastAsia="pt-BR"/>
        </w:rPr>
        <w:t xml:space="preserve">23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Existe também uma clara correlação entre estados de hipotensão liquórica e quadros de </w:t>
      </w:r>
      <w:r w:rsidR="009E5965">
        <w:rPr>
          <w:rFonts w:ascii="Times New Roman" w:eastAsia="Times New Roman" w:hAnsi="Times New Roman" w:cs="Times New Roman"/>
          <w:lang w:eastAsia="pt-BR"/>
        </w:rPr>
        <w:t xml:space="preserve"> </w:t>
      </w:r>
      <w:r w:rsidRPr="002F03BA">
        <w:rPr>
          <w:rFonts w:ascii="ArialMT" w:eastAsia="Times New Roman" w:hAnsi="ArialMT" w:cs="Times New Roman"/>
          <w:sz w:val="20"/>
          <w:szCs w:val="20"/>
          <w:lang w:eastAsia="pt-BR"/>
        </w:rPr>
        <w:t>hemorragia</w:t>
      </w:r>
      <w:r w:rsidR="009E5965">
        <w:rPr>
          <w:rFonts w:ascii="ArialMT" w:eastAsia="Times New Roman" w:hAnsi="ArialMT" w:cs="Times New Roman"/>
          <w:sz w:val="20"/>
          <w:szCs w:val="20"/>
          <w:lang w:eastAsia="pt-BR"/>
        </w:rPr>
        <w:t xml:space="preserve">m </w:t>
      </w:r>
      <w:r w:rsidRPr="002F03BA">
        <w:rPr>
          <w:rFonts w:ascii="ArialMT" w:eastAsia="Times New Roman" w:hAnsi="ArialMT" w:cs="Times New Roman"/>
          <w:sz w:val="20"/>
          <w:szCs w:val="20"/>
          <w:lang w:eastAsia="pt-BR"/>
        </w:rPr>
        <w:t>subaracnóidea</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espontânea</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de</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origem</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não</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aneurismática.</w:t>
      </w:r>
      <w:r w:rsidRPr="002F03BA">
        <w:rPr>
          <w:rFonts w:ascii="ArialMT" w:eastAsia="Times New Roman" w:hAnsi="ArialMT" w:cs="Times New Roman"/>
          <w:position w:val="8"/>
          <w:sz w:val="12"/>
          <w:szCs w:val="12"/>
          <w:lang w:eastAsia="pt-BR"/>
        </w:rPr>
        <w:t>30</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31</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32</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33</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position w:val="8"/>
          <w:sz w:val="12"/>
          <w:szCs w:val="12"/>
          <w:lang w:eastAsia="pt-BR"/>
        </w:rPr>
        <w:t>34</w:t>
      </w:r>
      <w:r w:rsidR="009E5965">
        <w:rPr>
          <w:rFonts w:ascii="ArialMT" w:eastAsia="Times New Roman" w:hAnsi="ArialMT" w:cs="Times New Roman"/>
          <w:position w:val="8"/>
          <w:sz w:val="12"/>
          <w:szCs w:val="12"/>
          <w:lang w:eastAsia="pt-BR"/>
        </w:rPr>
        <w:t xml:space="preserve"> </w:t>
      </w:r>
      <w:r w:rsidRPr="002F03BA">
        <w:rPr>
          <w:rFonts w:ascii="ArialMT" w:eastAsia="Times New Roman" w:hAnsi="ArialMT" w:cs="Times New Roman"/>
          <w:sz w:val="20"/>
          <w:szCs w:val="20"/>
          <w:lang w:eastAsia="pt-BR"/>
        </w:rPr>
        <w:t>Schievink</w:t>
      </w:r>
      <w:r w:rsidR="009E5965">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relatou 2 casos de hemorragia subaracnóidea extensa associad</w:t>
      </w:r>
      <w:r w:rsidR="009E5965">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a sinais de fistulas liquóricas tardias (</w:t>
      </w:r>
      <w:r w:rsidRPr="002F03BA">
        <w:rPr>
          <w:rFonts w:ascii="ArialMT" w:eastAsia="Times New Roman" w:hAnsi="ArialMT" w:cs="Times New Roman"/>
          <w:sz w:val="20"/>
          <w:szCs w:val="20"/>
          <w:shd w:val="clear" w:color="auto" w:fill="FFFF00"/>
          <w:lang w:eastAsia="pt-BR"/>
        </w:rPr>
        <w:t xml:space="preserve">figura </w:t>
      </w:r>
      <w:r w:rsidRPr="002F03BA">
        <w:rPr>
          <w:rFonts w:ascii="ArialMT" w:eastAsia="Times New Roman" w:hAnsi="ArialMT" w:cs="Times New Roman"/>
          <w:position w:val="-8"/>
          <w:sz w:val="20"/>
          <w:szCs w:val="20"/>
          <w:shd w:val="clear" w:color="auto" w:fill="FFFF00"/>
          <w:lang w:eastAsia="pt-BR"/>
        </w:rPr>
        <w:t xml:space="preserve">X ). </w:t>
      </w:r>
      <w:r w:rsidRPr="002F03BA">
        <w:rPr>
          <w:rFonts w:ascii="ArialMT" w:eastAsia="Times New Roman" w:hAnsi="ArialMT" w:cs="Times New Roman"/>
          <w:sz w:val="12"/>
          <w:szCs w:val="12"/>
          <w:shd w:val="clear" w:color="auto" w:fill="FFFF00"/>
          <w:lang w:eastAsia="pt-BR"/>
        </w:rPr>
        <w:t xml:space="preserve">34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Frente a esses achados da literatura, uma das possíveis hipóteses aventadas para as complicações observadas no presente caso ser</w:t>
      </w:r>
      <w:r w:rsidR="009E5965">
        <w:rPr>
          <w:rFonts w:ascii="ArialMT" w:eastAsia="Times New Roman" w:hAnsi="ArialMT" w:cs="Times New Roman"/>
          <w:sz w:val="20"/>
          <w:szCs w:val="20"/>
          <w:lang w:eastAsia="pt-BR"/>
        </w:rPr>
        <w:t>ia</w:t>
      </w:r>
      <w:r w:rsidRPr="002F03BA">
        <w:rPr>
          <w:rFonts w:ascii="ArialMT" w:eastAsia="Times New Roman" w:hAnsi="ArialMT" w:cs="Times New Roman"/>
          <w:sz w:val="20"/>
          <w:szCs w:val="20"/>
          <w:lang w:eastAsia="pt-BR"/>
        </w:rPr>
        <w:t xml:space="preserve"> decorrente da laceração dural, seguido de um estado de hipotensão liquórica. Os sintomas cefal</w:t>
      </w:r>
      <w:r w:rsidR="009E5965">
        <w:rPr>
          <w:rFonts w:ascii="ArialMT" w:eastAsia="Times New Roman" w:hAnsi="ArialMT" w:cs="Times New Roman"/>
          <w:sz w:val="20"/>
          <w:szCs w:val="20"/>
          <w:lang w:eastAsia="pt-BR"/>
        </w:rPr>
        <w:t>é</w:t>
      </w:r>
      <w:r w:rsidRPr="002F03BA">
        <w:rPr>
          <w:rFonts w:ascii="ArialMT" w:eastAsia="Times New Roman" w:hAnsi="ArialMT" w:cs="Times New Roman"/>
          <w:sz w:val="20"/>
          <w:szCs w:val="20"/>
          <w:lang w:eastAsia="pt-BR"/>
        </w:rPr>
        <w:t xml:space="preserve">ia e diplopia por sua vez poderiam ser secundários a hidrocefalia decorrente hemorragia subaracnóidea ou por outro lado devido a um estado de hipotensão intracraniana pelos motivos já descritos acima.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Embora as evidencias apresentadas até aqui possam explicar as complicações apresentadas no caso descrito, outros aspectos merecem atenção e discussão. Nas cirurgias totalmente endoscópicas utiliza se de rotina a infusão de solução salina sob pressão positiva no espaço epidural.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Entretanto os estudos da fisiologia pressórica no canal espinhal nos procedimentos endoscópicos são escassos.</w:t>
      </w:r>
      <w:r w:rsidRPr="002F03BA">
        <w:rPr>
          <w:rFonts w:ascii="ArialMT" w:eastAsia="Times New Roman" w:hAnsi="ArialMT" w:cs="Times New Roman"/>
          <w:position w:val="8"/>
          <w:sz w:val="12"/>
          <w:szCs w:val="12"/>
          <w:lang w:eastAsia="pt-BR"/>
        </w:rPr>
        <w:t>35</w:t>
      </w:r>
      <w:r w:rsidR="009E5965">
        <w:rPr>
          <w:rFonts w:ascii="ArialMT" w:eastAsia="Times New Roman" w:hAnsi="ArialMT" w:cs="Times New Roman"/>
          <w:position w:val="8"/>
          <w:sz w:val="12"/>
          <w:szCs w:val="12"/>
          <w:lang w:eastAsia="pt-BR"/>
        </w:rPr>
        <w:t>,</w:t>
      </w:r>
      <w:r w:rsidRPr="002F03BA">
        <w:rPr>
          <w:rFonts w:ascii="ArialMT" w:eastAsia="Times New Roman" w:hAnsi="ArialMT" w:cs="Times New Roman"/>
          <w:position w:val="8"/>
          <w:sz w:val="12"/>
          <w:szCs w:val="12"/>
          <w:lang w:eastAsia="pt-BR"/>
        </w:rPr>
        <w:t xml:space="preserve"> 36 </w:t>
      </w:r>
      <w:r w:rsidRPr="002F03BA">
        <w:rPr>
          <w:rFonts w:ascii="ArialMT" w:eastAsia="Times New Roman" w:hAnsi="ArialMT" w:cs="Times New Roman"/>
          <w:sz w:val="20"/>
          <w:szCs w:val="20"/>
          <w:lang w:eastAsia="pt-BR"/>
        </w:rPr>
        <w:t xml:space="preserve">Alguns pacientes relatam dores na região na região cervical durante ou após procedimentos totalmente endoscópicos da coluna espinhal. Essa queixa levou alguns autores a pensar na hipótese de um provável aumento na pressão intracraniana durante os procedimentos endoscópicos da coluna. Essa hipótese </w:t>
      </w:r>
      <w:r w:rsidR="005E4D69">
        <w:rPr>
          <w:rFonts w:ascii="ArialMT" w:eastAsia="Times New Roman" w:hAnsi="ArialMT" w:cs="Times New Roman"/>
          <w:sz w:val="20"/>
          <w:szCs w:val="20"/>
          <w:lang w:eastAsia="pt-BR"/>
        </w:rPr>
        <w:t xml:space="preserve">os </w:t>
      </w:r>
      <w:r w:rsidRPr="002F03BA">
        <w:rPr>
          <w:rFonts w:ascii="ArialMT" w:eastAsia="Times New Roman" w:hAnsi="ArialMT" w:cs="Times New Roman"/>
          <w:sz w:val="20"/>
          <w:szCs w:val="20"/>
          <w:lang w:eastAsia="pt-BR"/>
        </w:rPr>
        <w:t xml:space="preserve">levou a realizar um estudo em 28 pacientes em que a pressão epidural cervical foi medida através de um cateter peridural inserido entre C6 e C7. Dos 28 pacientes 8 apresentaram queixa de dores cervicais durante o </w:t>
      </w:r>
      <w:r w:rsidRPr="002F03BA">
        <w:rPr>
          <w:rFonts w:ascii="ArialMT" w:eastAsia="Times New Roman" w:hAnsi="ArialMT" w:cs="Times New Roman"/>
          <w:sz w:val="20"/>
          <w:szCs w:val="20"/>
          <w:lang w:eastAsia="pt-BR"/>
        </w:rPr>
        <w:lastRenderedPageBreak/>
        <w:t>procedimento. Houve uma correlação clara entre o in</w:t>
      </w:r>
      <w:r w:rsidR="005E4D69">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cio dos sintomas e o in</w:t>
      </w:r>
      <w:r w:rsidR="005E4D69">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 xml:space="preserve">cio da irrigação. A pressão epidural foi significantemente maior nos pacientes que relataram cervicalgia (73.6 + - 25.8 mmHg) dos que não apresentaram essa queixa (34.8 +- 14.7 mmHg). Todos os pacientes que relataram dor cervical apresentaram pressões superiores a 37 mmHg. Os mesmos autores também relataram a ocorrência de crises convulsivas intra operatórias em 4 de 16.725 pacientes submetidos a cirurgia totalmente endoscópicas. Todos os 4 pacientes tiveram relato de dor cervical antes da crise e foram expostos </w:t>
      </w:r>
      <w:r w:rsidR="005E4D69">
        <w:rPr>
          <w:rFonts w:ascii="ArialMT" w:eastAsia="Times New Roman" w:hAnsi="ArialMT" w:cs="Times New Roman"/>
          <w:sz w:val="20"/>
          <w:szCs w:val="20"/>
          <w:lang w:eastAsia="pt-BR"/>
        </w:rPr>
        <w:t>a</w:t>
      </w:r>
      <w:r w:rsidRPr="002F03BA">
        <w:rPr>
          <w:rFonts w:ascii="ArialMT" w:eastAsia="Times New Roman" w:hAnsi="ArialMT" w:cs="Times New Roman"/>
          <w:sz w:val="20"/>
          <w:szCs w:val="20"/>
          <w:lang w:eastAsia="pt-BR"/>
        </w:rPr>
        <w:t xml:space="preserve"> um tempo cirúrgico maior do que 60 min</w:t>
      </w:r>
      <w:r w:rsidR="005E4D69">
        <w:rPr>
          <w:rFonts w:ascii="ArialMT" w:eastAsia="Times New Roman" w:hAnsi="ArialMT" w:cs="Times New Roman"/>
          <w:sz w:val="20"/>
          <w:szCs w:val="20"/>
          <w:lang w:eastAsia="pt-BR"/>
        </w:rPr>
        <w:t>utos</w:t>
      </w:r>
      <w:r w:rsidRPr="002F03BA">
        <w:rPr>
          <w:rFonts w:ascii="ArialMT" w:eastAsia="Times New Roman" w:hAnsi="ArialMT" w:cs="Times New Roman"/>
          <w:sz w:val="20"/>
          <w:szCs w:val="20"/>
          <w:lang w:eastAsia="pt-BR"/>
        </w:rPr>
        <w:t>.</w:t>
      </w:r>
      <w:r w:rsidRPr="002F03BA">
        <w:rPr>
          <w:rFonts w:ascii="ArialMT" w:eastAsia="Times New Roman" w:hAnsi="ArialMT" w:cs="Times New Roman"/>
          <w:position w:val="8"/>
          <w:sz w:val="12"/>
          <w:szCs w:val="12"/>
          <w:lang w:eastAsia="pt-BR"/>
        </w:rPr>
        <w:t xml:space="preserve">36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Dessa forma tal estudo também nos remete à hipótese de que as complicações apresentadas no presente caso possam ter relação com aumento de pressão intracraniana secund</w:t>
      </w:r>
      <w:r w:rsidR="005E4D69">
        <w:rPr>
          <w:rFonts w:ascii="ArialMT" w:eastAsia="Times New Roman" w:hAnsi="ArialMT" w:cs="Times New Roman"/>
          <w:sz w:val="20"/>
          <w:szCs w:val="20"/>
          <w:lang w:eastAsia="pt-BR"/>
        </w:rPr>
        <w:t>á</w:t>
      </w:r>
      <w:r w:rsidRPr="002F03BA">
        <w:rPr>
          <w:rFonts w:ascii="ArialMT" w:eastAsia="Times New Roman" w:hAnsi="ArialMT" w:cs="Times New Roman"/>
          <w:sz w:val="20"/>
          <w:szCs w:val="20"/>
          <w:lang w:eastAsia="pt-BR"/>
        </w:rPr>
        <w:t xml:space="preserve">ria </w:t>
      </w:r>
      <w:r w:rsidR="005E4D69">
        <w:rPr>
          <w:rFonts w:ascii="ArialMT" w:eastAsia="Times New Roman" w:hAnsi="ArialMT" w:cs="Times New Roman"/>
          <w:sz w:val="20"/>
          <w:szCs w:val="20"/>
          <w:lang w:eastAsia="pt-BR"/>
        </w:rPr>
        <w:t>à</w:t>
      </w:r>
      <w:r w:rsidRPr="002F03BA">
        <w:rPr>
          <w:rFonts w:ascii="ArialMT" w:eastAsia="Times New Roman" w:hAnsi="ArialMT" w:cs="Times New Roman"/>
          <w:sz w:val="20"/>
          <w:szCs w:val="20"/>
          <w:lang w:eastAsia="pt-BR"/>
        </w:rPr>
        <w:t xml:space="preserve"> irrigação. No contexto de sangramento massivo intra-operatório associado ao quadro de laceração dural não descartamos a hipótese de que possa ter havido infusão retr</w:t>
      </w:r>
      <w:r w:rsidR="005E4D69">
        <w:rPr>
          <w:rFonts w:ascii="ArialMT" w:eastAsia="Times New Roman" w:hAnsi="ArialMT" w:cs="Times New Roman"/>
          <w:sz w:val="20"/>
          <w:szCs w:val="20"/>
          <w:lang w:eastAsia="pt-BR"/>
        </w:rPr>
        <w:t>ó</w:t>
      </w:r>
      <w:r w:rsidRPr="002F03BA">
        <w:rPr>
          <w:rFonts w:ascii="ArialMT" w:eastAsia="Times New Roman" w:hAnsi="ArialMT" w:cs="Times New Roman"/>
          <w:sz w:val="20"/>
          <w:szCs w:val="20"/>
          <w:lang w:eastAsia="pt-BR"/>
        </w:rPr>
        <w:t>grada de fluido e sangue no espaço subaracnóideo, o que por sua vez gerou hidrocefalia e um consequente aumento da pressão intracraniana. O aumento da pressão intracraniana associado a hemorragia</w:t>
      </w:r>
      <w:r w:rsidR="005E4D69">
        <w:rPr>
          <w:rFonts w:ascii="ArialMT" w:eastAsia="Times New Roman" w:hAnsi="ArialMT" w:cs="Times New Roman"/>
          <w:sz w:val="20"/>
          <w:szCs w:val="20"/>
          <w:lang w:eastAsia="pt-BR"/>
        </w:rPr>
        <w:t xml:space="preserve"> </w:t>
      </w:r>
      <w:r w:rsidRPr="002F03BA">
        <w:rPr>
          <w:rFonts w:ascii="ArialMT" w:eastAsia="Times New Roman" w:hAnsi="ArialMT" w:cs="Times New Roman"/>
          <w:sz w:val="20"/>
          <w:szCs w:val="20"/>
          <w:lang w:eastAsia="pt-BR"/>
        </w:rPr>
        <w:t>podem ter levado aos sintomas de cefal</w:t>
      </w:r>
      <w:r w:rsidR="005E4D69">
        <w:rPr>
          <w:rFonts w:ascii="ArialMT" w:eastAsia="Times New Roman" w:hAnsi="ArialMT" w:cs="Times New Roman"/>
          <w:sz w:val="20"/>
          <w:szCs w:val="20"/>
          <w:lang w:eastAsia="pt-BR"/>
        </w:rPr>
        <w:t>é</w:t>
      </w:r>
      <w:r w:rsidRPr="002F03BA">
        <w:rPr>
          <w:rFonts w:ascii="ArialMT" w:eastAsia="Times New Roman" w:hAnsi="ArialMT" w:cs="Times New Roman"/>
          <w:sz w:val="20"/>
          <w:szCs w:val="20"/>
          <w:lang w:eastAsia="pt-BR"/>
        </w:rPr>
        <w:t xml:space="preserve">ia e disfunção do nervo abducente.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 xml:space="preserve">Nesse interim, cirurgias demasiadamente longas e regimes de alta pressão devem ser evitados nas cirurgias endoscópicas da coluna. O uso de sistemas e membranas pressurizadoras, assim como o fechamento das vias de saída também deve ter seu uso restrito. </w:t>
      </w:r>
      <w:r w:rsidR="005E4D69">
        <w:rPr>
          <w:rFonts w:ascii="ArialMT" w:eastAsia="Times New Roman" w:hAnsi="ArialMT" w:cs="Times New Roman"/>
          <w:sz w:val="20"/>
          <w:szCs w:val="20"/>
          <w:lang w:eastAsia="pt-BR"/>
        </w:rPr>
        <w:t>Conjuntos</w:t>
      </w:r>
      <w:r w:rsidRPr="002F03BA">
        <w:rPr>
          <w:rFonts w:ascii="ArialMT" w:eastAsia="Times New Roman" w:hAnsi="ArialMT" w:cs="Times New Roman"/>
          <w:sz w:val="20"/>
          <w:szCs w:val="20"/>
          <w:lang w:eastAsia="pt-BR"/>
        </w:rPr>
        <w:t xml:space="preserve"> ó</w:t>
      </w:r>
      <w:r w:rsidR="005E4D69">
        <w:rPr>
          <w:rFonts w:ascii="ArialMT" w:eastAsia="Times New Roman" w:hAnsi="ArialMT" w:cs="Times New Roman"/>
          <w:sz w:val="20"/>
          <w:szCs w:val="20"/>
          <w:lang w:eastAsia="pt-BR"/>
        </w:rPr>
        <w:t>p</w:t>
      </w:r>
      <w:r w:rsidRPr="002F03BA">
        <w:rPr>
          <w:rFonts w:ascii="ArialMT" w:eastAsia="Times New Roman" w:hAnsi="ArialMT" w:cs="Times New Roman"/>
          <w:sz w:val="20"/>
          <w:szCs w:val="20"/>
          <w:lang w:eastAsia="pt-BR"/>
        </w:rPr>
        <w:t>ticos ovais que permitem uma maior va</w:t>
      </w:r>
      <w:r w:rsidR="005E4D69">
        <w:rPr>
          <w:rFonts w:ascii="ArialMT" w:eastAsia="Times New Roman" w:hAnsi="ArialMT" w:cs="Times New Roman"/>
          <w:sz w:val="20"/>
          <w:szCs w:val="20"/>
          <w:lang w:eastAsia="pt-BR"/>
        </w:rPr>
        <w:t>z</w:t>
      </w:r>
      <w:r w:rsidRPr="002F03BA">
        <w:rPr>
          <w:rFonts w:ascii="ArialMT" w:eastAsia="Times New Roman" w:hAnsi="ArialMT" w:cs="Times New Roman"/>
          <w:sz w:val="20"/>
          <w:szCs w:val="20"/>
          <w:lang w:eastAsia="pt-BR"/>
        </w:rPr>
        <w:t xml:space="preserve">ão de saída e sistemas de bomba regidos a fluxo também são recomendados, pois tendem a manter a pressão no ambiente epidural mais estável. </w:t>
      </w:r>
    </w:p>
    <w:p w:rsidR="002F03BA" w:rsidRPr="002F03BA" w:rsidRDefault="002F03BA" w:rsidP="00203908">
      <w:pPr>
        <w:spacing w:before="100" w:beforeAutospacing="1" w:after="100" w:afterAutospacing="1"/>
        <w:jc w:val="both"/>
        <w:rPr>
          <w:rFonts w:ascii="Times New Roman" w:eastAsia="Times New Roman" w:hAnsi="Times New Roman" w:cs="Times New Roman"/>
          <w:lang w:eastAsia="pt-BR"/>
        </w:rPr>
      </w:pPr>
      <w:r w:rsidRPr="002F03BA">
        <w:rPr>
          <w:rFonts w:ascii="ArialMT" w:eastAsia="Times New Roman" w:hAnsi="ArialMT" w:cs="Times New Roman"/>
          <w:sz w:val="20"/>
          <w:szCs w:val="20"/>
          <w:lang w:eastAsia="pt-BR"/>
        </w:rPr>
        <w:t>Novos estudos a respeito das disfunções neurológicas e hidrodinâmicas da fisiologia pressórica durante procedimentos endoscópicos da coluna espinhal devem ser realizados. Até o momento também não existem publicações espec</w:t>
      </w:r>
      <w:r w:rsidR="005E4D69">
        <w:rPr>
          <w:rFonts w:ascii="ArialMT" w:eastAsia="Times New Roman" w:hAnsi="ArialMT" w:cs="Times New Roman"/>
          <w:sz w:val="20"/>
          <w:szCs w:val="20"/>
          <w:lang w:eastAsia="pt-BR"/>
        </w:rPr>
        <w:t>í</w:t>
      </w:r>
      <w:r w:rsidRPr="002F03BA">
        <w:rPr>
          <w:rFonts w:ascii="ArialMT" w:eastAsia="Times New Roman" w:hAnsi="ArialMT" w:cs="Times New Roman"/>
          <w:sz w:val="20"/>
          <w:szCs w:val="20"/>
          <w:lang w:eastAsia="pt-BR"/>
        </w:rPr>
        <w:t xml:space="preserve">ficas frente a conduta a ser adotada diante das lesões de dura mater durante os procedimentos totalmente endoscópicos. </w:t>
      </w:r>
    </w:p>
    <w:p w:rsidR="002F03BA" w:rsidRDefault="005E4D69" w:rsidP="00203908">
      <w:pPr>
        <w:spacing w:before="100" w:beforeAutospacing="1" w:after="100" w:afterAutospacing="1"/>
        <w:jc w:val="both"/>
        <w:rPr>
          <w:rFonts w:ascii="ArialMT" w:eastAsia="Times New Roman" w:hAnsi="ArialMT" w:cs="Times New Roman"/>
          <w:sz w:val="20"/>
          <w:szCs w:val="20"/>
          <w:lang w:eastAsia="pt-BR"/>
        </w:rPr>
      </w:pPr>
      <w:r>
        <w:rPr>
          <w:rFonts w:ascii="ArialMT" w:eastAsia="Times New Roman" w:hAnsi="ArialMT" w:cs="Times New Roman"/>
          <w:sz w:val="20"/>
          <w:szCs w:val="20"/>
          <w:lang w:eastAsia="pt-BR"/>
        </w:rPr>
        <w:t>O</w:t>
      </w:r>
      <w:r w:rsidR="002F03BA" w:rsidRPr="002F03BA">
        <w:rPr>
          <w:rFonts w:ascii="ArialMT" w:eastAsia="Times New Roman" w:hAnsi="ArialMT" w:cs="Times New Roman"/>
          <w:sz w:val="20"/>
          <w:szCs w:val="20"/>
          <w:lang w:eastAsia="pt-BR"/>
        </w:rPr>
        <w:t xml:space="preserve"> conhecimento, entendimento e manejo dessas alterações podem prevenir complicações potencialmente graves no procedimento endoscópico da coluna. </w:t>
      </w: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5E4D69" w:rsidRDefault="005E4D69" w:rsidP="00203908">
      <w:pPr>
        <w:spacing w:before="100" w:beforeAutospacing="1" w:after="100" w:afterAutospacing="1"/>
        <w:jc w:val="both"/>
        <w:rPr>
          <w:rFonts w:ascii="Times New Roman" w:eastAsia="Times New Roman" w:hAnsi="Times New Roman" w:cs="Times New Roman"/>
          <w:lang w:eastAsia="pt-BR"/>
        </w:rPr>
      </w:pPr>
    </w:p>
    <w:p w:rsidR="00CD77D0" w:rsidRDefault="00CD77D0" w:rsidP="00203908">
      <w:pPr>
        <w:spacing w:before="100" w:beforeAutospacing="1" w:after="100" w:afterAutospacing="1"/>
        <w:jc w:val="both"/>
        <w:rPr>
          <w:rFonts w:ascii="Times New Roman" w:eastAsia="Times New Roman" w:hAnsi="Times New Roman" w:cs="Times New Roman"/>
          <w:lang w:eastAsia="pt-BR"/>
        </w:rPr>
      </w:pPr>
    </w:p>
    <w:p w:rsidR="00CD77D0" w:rsidRDefault="00CD77D0" w:rsidP="00203908">
      <w:pPr>
        <w:spacing w:before="100" w:beforeAutospacing="1" w:after="100" w:afterAutospacing="1"/>
        <w:jc w:val="both"/>
        <w:rPr>
          <w:rFonts w:ascii="Times New Roman" w:eastAsia="Times New Roman" w:hAnsi="Times New Roman" w:cs="Times New Roman"/>
          <w:lang w:eastAsia="pt-BR"/>
        </w:rPr>
      </w:pPr>
    </w:p>
    <w:p w:rsidR="00CD77D0" w:rsidRDefault="00CD77D0" w:rsidP="00203908">
      <w:pPr>
        <w:spacing w:before="100" w:beforeAutospacing="1" w:after="100" w:afterAutospacing="1"/>
        <w:jc w:val="both"/>
        <w:rPr>
          <w:rFonts w:ascii="Times New Roman" w:eastAsia="Times New Roman" w:hAnsi="Times New Roman" w:cs="Times New Roman"/>
          <w:lang w:eastAsia="pt-BR"/>
        </w:rPr>
      </w:pPr>
    </w:p>
    <w:p w:rsidR="00CD77D0" w:rsidRPr="002F03BA" w:rsidRDefault="00CD77D0" w:rsidP="00203908">
      <w:pPr>
        <w:spacing w:before="100" w:beforeAutospacing="1" w:after="100" w:afterAutospacing="1"/>
        <w:jc w:val="both"/>
        <w:rPr>
          <w:rFonts w:ascii="Times New Roman" w:eastAsia="Times New Roman" w:hAnsi="Times New Roman" w:cs="Times New Roman"/>
          <w:lang w:eastAsia="pt-BR"/>
        </w:rPr>
      </w:pPr>
    </w:p>
    <w:p w:rsidR="002F03BA" w:rsidRPr="002F03BA" w:rsidRDefault="002F03BA" w:rsidP="00203908">
      <w:pPr>
        <w:jc w:val="both"/>
        <w:rPr>
          <w:rFonts w:ascii="Times New Roman" w:eastAsia="Times New Roman" w:hAnsi="Times New Roman" w:cs="Times New Roman"/>
          <w:lang w:eastAsia="pt-BR"/>
        </w:rPr>
      </w:pPr>
    </w:p>
    <w:p w:rsidR="00203908" w:rsidRDefault="005E4D69">
      <w:pPr>
        <w:rPr>
          <w:rFonts w:ascii="Arial" w:eastAsia="Times New Roman" w:hAnsi="Arial" w:cs="Arial"/>
          <w:b/>
          <w:sz w:val="16"/>
          <w:szCs w:val="16"/>
          <w:lang w:val="en-US" w:eastAsia="pt-BR"/>
        </w:rPr>
      </w:pPr>
      <w:r w:rsidRPr="005E4D69">
        <w:rPr>
          <w:rFonts w:ascii="Arial" w:eastAsia="Times New Roman" w:hAnsi="Arial" w:cs="Arial"/>
          <w:b/>
          <w:sz w:val="16"/>
          <w:szCs w:val="16"/>
          <w:lang w:val="en-US" w:eastAsia="pt-BR"/>
        </w:rPr>
        <w:t>REFERÊNCIAS</w:t>
      </w:r>
    </w:p>
    <w:p w:rsidR="005E4D69" w:rsidRDefault="005E4D69">
      <w:pPr>
        <w:rPr>
          <w:rFonts w:ascii="Arial" w:eastAsia="Times New Roman" w:hAnsi="Arial" w:cs="Arial"/>
          <w:b/>
          <w:sz w:val="16"/>
          <w:szCs w:val="16"/>
          <w:lang w:val="en-US" w:eastAsia="pt-BR"/>
        </w:rPr>
      </w:pPr>
    </w:p>
    <w:p w:rsidR="005E4D69" w:rsidRPr="005E4D69" w:rsidRDefault="005E4D69">
      <w:pPr>
        <w:rPr>
          <w:rFonts w:ascii="Arial" w:eastAsia="Times New Roman" w:hAnsi="Arial" w:cs="Arial"/>
          <w:sz w:val="16"/>
          <w:szCs w:val="16"/>
          <w:lang w:val="en-US" w:eastAsia="pt-BR"/>
        </w:rPr>
      </w:pP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SCHOENFELD, A. J. et al. Incidence and epidemiology of cervical radiculopathy in the United States military: 2000 to 2009. </w:t>
      </w:r>
      <w:r w:rsidRPr="00EA7922">
        <w:rPr>
          <w:rFonts w:ascii="Calibri" w:eastAsia="Times New Roman" w:hAnsi="Calibri" w:cs="Calibri"/>
          <w:b/>
          <w:bCs/>
          <w:lang w:eastAsia="pt-BR"/>
        </w:rPr>
        <w:t xml:space="preserve">J Spinal Disord Tech, </w:t>
      </w:r>
      <w:r w:rsidRPr="00EA7922">
        <w:rPr>
          <w:rFonts w:ascii="Calibri" w:eastAsia="Times New Roman" w:hAnsi="Calibri" w:cs="Calibri"/>
          <w:lang w:eastAsia="pt-BR"/>
        </w:rPr>
        <w:t xml:space="preserve">v. 25, n. 1, p. 17-22, Feb 2012. ISSN 1539-2465. Disponível em: &lt; </w:t>
      </w:r>
      <w:r w:rsidRPr="00EA7922">
        <w:rPr>
          <w:rFonts w:ascii="Calibri" w:eastAsia="Times New Roman" w:hAnsi="Calibri" w:cs="Calibri"/>
          <w:color w:val="0260BF"/>
          <w:lang w:eastAsia="pt-BR"/>
        </w:rPr>
        <w:t xml:space="preserve">https://www.ncbi.nlm.nih.gov/pubmed/21430568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KELSEY, J. L. et al. Acute prolapsed lumbar intervertebral disc. An epidemiologic study with special reference to driving automobiles and cigarette smoking. </w:t>
      </w:r>
      <w:r w:rsidRPr="00EA7922">
        <w:rPr>
          <w:rFonts w:ascii="Calibri" w:eastAsia="Times New Roman" w:hAnsi="Calibri" w:cs="Calibri"/>
          <w:b/>
          <w:bCs/>
          <w:lang w:eastAsia="pt-BR"/>
        </w:rPr>
        <w:t xml:space="preserve">Spine (Phila Pa 1976), </w:t>
      </w:r>
      <w:r w:rsidRPr="00EA7922">
        <w:rPr>
          <w:rFonts w:ascii="Calibri" w:eastAsia="Times New Roman" w:hAnsi="Calibri" w:cs="Calibri"/>
          <w:lang w:eastAsia="pt-BR"/>
        </w:rPr>
        <w:t xml:space="preserve">v. 9, n. 6, p. 608-13, Sep 1984. ISSN 0362-2436. Disponível em: &lt; </w:t>
      </w:r>
      <w:r w:rsidRPr="00EA7922">
        <w:rPr>
          <w:rFonts w:ascii="Calibri" w:eastAsia="Times New Roman" w:hAnsi="Calibri" w:cs="Calibri"/>
          <w:color w:val="0260BF"/>
          <w:lang w:eastAsia="pt-BR"/>
        </w:rPr>
        <w:t xml:space="preserve">https://www.ncbi.nlm.nih.gov/pubmed/6495031 </w:t>
      </w:r>
      <w:r w:rsidRPr="00EA7922">
        <w:rPr>
          <w:rFonts w:ascii="Calibri" w:eastAsia="Times New Roman" w:hAnsi="Calibri" w:cs="Calibri"/>
          <w:lang w:eastAsia="pt-BR"/>
        </w:rPr>
        <w:t>&gt;.</w:t>
      </w:r>
      <w:r w:rsidRPr="00EA7922">
        <w:rPr>
          <w:rFonts w:ascii="Calibri" w:eastAsia="Times New Roman" w:hAnsi="Calibri" w:cs="Calibri"/>
          <w:lang w:val="en-US" w:eastAsia="pt-BR"/>
        </w:rPr>
        <w:t xml:space="preserve">. An epidemiological study of acute prolapsed cervical intervertebral disc. </w:t>
      </w:r>
      <w:r w:rsidRPr="00EA7922">
        <w:rPr>
          <w:rFonts w:ascii="Calibri" w:eastAsia="Times New Roman" w:hAnsi="Calibri" w:cs="Calibri"/>
          <w:b/>
          <w:bCs/>
          <w:lang w:val="en-US" w:eastAsia="pt-BR"/>
        </w:rPr>
        <w:t xml:space="preserve">J Bone Joint Surg Am, </w:t>
      </w:r>
      <w:r w:rsidRPr="00EA7922">
        <w:rPr>
          <w:rFonts w:ascii="Calibri" w:eastAsia="Times New Roman" w:hAnsi="Calibri" w:cs="Calibri"/>
          <w:lang w:val="en-US" w:eastAsia="pt-BR"/>
        </w:rPr>
        <w:t xml:space="preserve">v. 66, n. 6, p. 907-14, Jul 1984. ISSN 0021-9355. Disponível em: &lt; </w:t>
      </w:r>
      <w:r w:rsidRPr="00EA7922">
        <w:rPr>
          <w:rFonts w:ascii="Calibri" w:eastAsia="Times New Roman" w:hAnsi="Calibri" w:cs="Calibri"/>
          <w:color w:val="0260BF"/>
          <w:lang w:val="en-US" w:eastAsia="pt-BR"/>
        </w:rPr>
        <w:t xml:space="preserve">https://www.ncbi.nlm.nih.gov/pubmed/6736091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CARETTE, S.; FEHLINGS, M. G. Clinical practice. Cervical radiculopathy. </w:t>
      </w:r>
      <w:r w:rsidRPr="00EA7922">
        <w:rPr>
          <w:rFonts w:ascii="Calibri" w:eastAsia="Times New Roman" w:hAnsi="Calibri" w:cs="Calibri"/>
          <w:b/>
          <w:bCs/>
          <w:lang w:val="en-US" w:eastAsia="pt-BR"/>
        </w:rPr>
        <w:t xml:space="preserve">N Engl J Med, </w:t>
      </w:r>
      <w:r w:rsidRPr="00EA7922">
        <w:rPr>
          <w:rFonts w:ascii="Calibri" w:eastAsia="Times New Roman" w:hAnsi="Calibri" w:cs="Calibri"/>
          <w:lang w:val="en-US" w:eastAsia="pt-BR"/>
        </w:rPr>
        <w:t xml:space="preserve">v. 353, n. 4, p. 392-9, Jul 2005. </w:t>
      </w:r>
      <w:r w:rsidRPr="00EA7922">
        <w:rPr>
          <w:rFonts w:ascii="Calibri" w:eastAsia="Times New Roman" w:hAnsi="Calibri" w:cs="Calibri"/>
          <w:lang w:eastAsia="pt-BR"/>
        </w:rPr>
        <w:t xml:space="preserve">ISSN 1533-4406. Disponível em: &lt; </w:t>
      </w:r>
      <w:r w:rsidRPr="00EA7922">
        <w:rPr>
          <w:rFonts w:ascii="Calibri" w:eastAsia="Times New Roman" w:hAnsi="Calibri" w:cs="Calibri"/>
          <w:color w:val="0260BF"/>
          <w:lang w:eastAsia="pt-BR"/>
        </w:rPr>
        <w:t xml:space="preserve">https://www.ncbi.nlm.nih.gov/pubmed/16049211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RADHAKRISHNAN, K. et al. Epidemiology of cervical radiculopathy. A population-based study from Rochester, Minnesota, 1976 through 1990. </w:t>
      </w:r>
      <w:r w:rsidRPr="00EA7922">
        <w:rPr>
          <w:rFonts w:ascii="Calibri" w:eastAsia="Times New Roman" w:hAnsi="Calibri" w:cs="Calibri"/>
          <w:b/>
          <w:bCs/>
          <w:lang w:val="en-US" w:eastAsia="pt-BR"/>
        </w:rPr>
        <w:t xml:space="preserve">Brain, </w:t>
      </w:r>
      <w:r w:rsidRPr="00EA7922">
        <w:rPr>
          <w:rFonts w:ascii="Calibri" w:eastAsia="Times New Roman" w:hAnsi="Calibri" w:cs="Calibri"/>
          <w:lang w:val="en-US" w:eastAsia="pt-BR"/>
        </w:rPr>
        <w:t xml:space="preserve">v. 117 ( Pt 2), p. 325-35, Apr 1994. </w:t>
      </w:r>
      <w:r w:rsidRPr="00EA7922">
        <w:rPr>
          <w:rFonts w:ascii="Calibri" w:eastAsia="Times New Roman" w:hAnsi="Calibri" w:cs="Calibri"/>
          <w:lang w:eastAsia="pt-BR"/>
        </w:rPr>
        <w:t xml:space="preserve">ISSN 0006-8950. Disponível em: &lt; </w:t>
      </w:r>
      <w:r w:rsidRPr="00EA7922">
        <w:rPr>
          <w:rFonts w:ascii="Calibri" w:eastAsia="Times New Roman" w:hAnsi="Calibri" w:cs="Calibri"/>
          <w:color w:val="0260BF"/>
          <w:lang w:eastAsia="pt-BR"/>
        </w:rPr>
        <w:t xml:space="preserve">https://www.ncbi.nlm.nih.gov/pubmed/8186959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NIKOLAIDIS, I. et al. Surgery for cervical radiculopathy or myelopathy. </w:t>
      </w:r>
      <w:r w:rsidRPr="00EA7922">
        <w:rPr>
          <w:rFonts w:ascii="Calibri" w:eastAsia="Times New Roman" w:hAnsi="Calibri" w:cs="Calibri"/>
          <w:b/>
          <w:bCs/>
          <w:lang w:val="en-US" w:eastAsia="pt-BR"/>
        </w:rPr>
        <w:t>Cochrane Database Syst Rev</w:t>
      </w:r>
      <w:r w:rsidRPr="00EA7922">
        <w:rPr>
          <w:rFonts w:ascii="Calibri" w:eastAsia="Times New Roman" w:hAnsi="Calibri" w:cs="Calibri"/>
          <w:lang w:val="en-US" w:eastAsia="pt-BR"/>
        </w:rPr>
        <w:t xml:space="preserve">, n. 1, p. CD001466, Jan 2010. ISSN 1469-493X. Disponível em: &lt; </w:t>
      </w:r>
      <w:r w:rsidRPr="00EA7922">
        <w:rPr>
          <w:rFonts w:ascii="Calibri" w:eastAsia="Times New Roman" w:hAnsi="Calibri" w:cs="Calibri"/>
          <w:color w:val="0260BF"/>
          <w:lang w:val="en-US" w:eastAsia="pt-BR"/>
        </w:rPr>
        <w:t xml:space="preserve">https://www.ncbi.nlm.nih.gov/pubmed/20091520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CASHA, S.; FEHLINGS, M. G. Clinical and radiological evaluation of the Codman semiconstrained load-sharing anterior cervical plate: prospective multicenter trial and independent blinded evaluation of outcome. </w:t>
      </w:r>
      <w:r w:rsidRPr="00EA7922">
        <w:rPr>
          <w:rFonts w:ascii="Calibri" w:eastAsia="Times New Roman" w:hAnsi="Calibri" w:cs="Calibri"/>
          <w:b/>
          <w:bCs/>
          <w:lang w:val="en-US" w:eastAsia="pt-BR"/>
        </w:rPr>
        <w:t xml:space="preserve">J Neurosurg, </w:t>
      </w:r>
      <w:r w:rsidRPr="00EA7922">
        <w:rPr>
          <w:rFonts w:ascii="Calibri" w:eastAsia="Times New Roman" w:hAnsi="Calibri" w:cs="Calibri"/>
          <w:lang w:val="en-US" w:eastAsia="pt-BR"/>
        </w:rPr>
        <w:t xml:space="preserve">v. 99, n. 3 Suppl, p. 264-70, Oct 2003. ISSN 0022-3085. Disponível em: &lt; </w:t>
      </w:r>
      <w:r w:rsidRPr="00EA7922">
        <w:rPr>
          <w:rFonts w:ascii="Calibri" w:eastAsia="Times New Roman" w:hAnsi="Calibri" w:cs="Calibri"/>
          <w:color w:val="0260BF"/>
          <w:lang w:val="en-US" w:eastAsia="pt-BR"/>
        </w:rPr>
        <w:t xml:space="preserve">https://www.ncbi.nlm.nih.gov/pubmed/14563143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FEHLINGS, M. G.; ARVIN, B. Surgical management of cervical degenerative disease: the evidence related to indications, impact, and outcome. </w:t>
      </w:r>
      <w:r w:rsidRPr="00EA7922">
        <w:rPr>
          <w:rFonts w:ascii="Calibri" w:eastAsia="Times New Roman" w:hAnsi="Calibri" w:cs="Calibri"/>
          <w:b/>
          <w:bCs/>
          <w:lang w:eastAsia="pt-BR"/>
        </w:rPr>
        <w:t xml:space="preserve">J Neurosurg Spine, </w:t>
      </w:r>
      <w:r w:rsidRPr="00EA7922">
        <w:rPr>
          <w:rFonts w:ascii="Calibri" w:eastAsia="Times New Roman" w:hAnsi="Calibri" w:cs="Calibri"/>
          <w:lang w:eastAsia="pt-BR"/>
        </w:rPr>
        <w:t xml:space="preserve">v. 11, n. 2, p. 97-100, Aug 2009. ISSN 1547-5654. Disponível em: &lt; </w:t>
      </w:r>
      <w:r w:rsidRPr="00EA7922">
        <w:rPr>
          <w:rFonts w:ascii="Calibri" w:eastAsia="Times New Roman" w:hAnsi="Calibri" w:cs="Calibri"/>
          <w:color w:val="0260BF"/>
          <w:lang w:eastAsia="pt-BR"/>
        </w:rPr>
        <w:t xml:space="preserve">https://www.ncbi.nlm.nih.gov/pubmed/19769487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KOMP, M. et al. Full-endoscopic posterior foraminotomy surgery for cervical disc herniations. </w:t>
      </w:r>
      <w:r w:rsidRPr="00EA7922">
        <w:rPr>
          <w:rFonts w:ascii="Calibri" w:eastAsia="Times New Roman" w:hAnsi="Calibri" w:cs="Calibri"/>
          <w:b/>
          <w:bCs/>
          <w:lang w:eastAsia="pt-BR"/>
        </w:rPr>
        <w:t xml:space="preserve">Oper Orthop Traumatol, </w:t>
      </w:r>
      <w:r w:rsidRPr="00EA7922">
        <w:rPr>
          <w:rFonts w:ascii="Calibri" w:eastAsia="Times New Roman" w:hAnsi="Calibri" w:cs="Calibri"/>
          <w:lang w:eastAsia="pt-BR"/>
        </w:rPr>
        <w:t xml:space="preserve">v. 30, n. 1, p. 13-24, Feb 2018. ISSN 1439-0981. Disponível em: &lt; </w:t>
      </w:r>
      <w:r w:rsidRPr="00EA7922">
        <w:rPr>
          <w:rFonts w:ascii="Calibri" w:eastAsia="Times New Roman" w:hAnsi="Calibri" w:cs="Calibri"/>
          <w:color w:val="0260BF"/>
          <w:lang w:eastAsia="pt-BR"/>
        </w:rPr>
        <w:t xml:space="preserve">https://www.ncbi.nlm.nih.gov/pubmed/29318337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OEZDEMIR, S. et al. [Decompression for cervical disc herniation using the full- endoscopic anterior technique - German version]. </w:t>
      </w:r>
      <w:r w:rsidRPr="00EA7922">
        <w:rPr>
          <w:rFonts w:ascii="Calibri" w:eastAsia="Times New Roman" w:hAnsi="Calibri" w:cs="Calibri"/>
          <w:b/>
          <w:bCs/>
          <w:lang w:eastAsia="pt-BR"/>
        </w:rPr>
        <w:t xml:space="preserve">Oper Orthop Traumatol, </w:t>
      </w:r>
      <w:r w:rsidRPr="00EA7922">
        <w:rPr>
          <w:rFonts w:ascii="Calibri" w:eastAsia="Times New Roman" w:hAnsi="Calibri" w:cs="Calibri"/>
          <w:lang w:eastAsia="pt-BR"/>
        </w:rPr>
        <w:t xml:space="preserve">v. 30, n. 1, p. 25-35, Feb 2018. ISSN 1439-0981. Disponível em: &lt; </w:t>
      </w:r>
      <w:r w:rsidRPr="00EA7922">
        <w:rPr>
          <w:rFonts w:ascii="Calibri" w:eastAsia="Times New Roman" w:hAnsi="Calibri" w:cs="Calibri"/>
          <w:color w:val="0260BF"/>
          <w:lang w:eastAsia="pt-BR"/>
        </w:rPr>
        <w:t xml:space="preserve">https://www.ncbi.nlm.nih.gov/pubmed/29318336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RUETTEN, S. et al. A new full-endoscopic technique for cervical posterior foraminotomy in the treatment of lateral disc herniations using 6.9-mm endoscopes:</w:t>
      </w:r>
      <w:r w:rsidR="00EA7922" w:rsidRPr="00EA7922">
        <w:rPr>
          <w:rFonts w:ascii="Calibri" w:eastAsia="Times New Roman" w:hAnsi="Calibri" w:cs="Calibri"/>
          <w:lang w:val="en-US" w:eastAsia="pt-BR"/>
        </w:rPr>
        <w:t xml:space="preserve"> </w:t>
      </w:r>
      <w:r w:rsidRPr="00EA7922">
        <w:rPr>
          <w:rFonts w:ascii="Calibri" w:eastAsia="Times New Roman" w:hAnsi="Calibri" w:cs="Calibri"/>
          <w:lang w:val="en-US" w:eastAsia="pt-BR"/>
        </w:rPr>
        <w:t xml:space="preserve">prospective 2-year results of 87 patients. </w:t>
      </w:r>
      <w:r w:rsidRPr="00EA7922">
        <w:rPr>
          <w:rFonts w:ascii="Calibri" w:eastAsia="Times New Roman" w:hAnsi="Calibri" w:cs="Calibri"/>
          <w:b/>
          <w:bCs/>
          <w:lang w:eastAsia="pt-BR"/>
        </w:rPr>
        <w:t xml:space="preserve">Minim Invasive Neurosurg, </w:t>
      </w:r>
      <w:r w:rsidRPr="00EA7922">
        <w:rPr>
          <w:rFonts w:ascii="Calibri" w:eastAsia="Times New Roman" w:hAnsi="Calibri" w:cs="Calibri"/>
          <w:lang w:eastAsia="pt-BR"/>
        </w:rPr>
        <w:t xml:space="preserve">v. 50, n. 4, p. 219- 26, Aug 2007. ISSN 0946-7211. Disponível em: &lt; </w:t>
      </w:r>
      <w:r w:rsidRPr="00EA7922">
        <w:rPr>
          <w:rFonts w:ascii="Calibri" w:eastAsia="Times New Roman" w:hAnsi="Calibri" w:cs="Calibri"/>
          <w:color w:val="0260BF"/>
          <w:lang w:eastAsia="pt-BR"/>
        </w:rPr>
        <w:t xml:space="preserve">https://www.ncbi.nlm.nih.gov/pubmed/17948181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lastRenderedPageBreak/>
        <w:t xml:space="preserve">OEZDEMIR, S. et al. Decompression for cervical disc herniation using the full- endoscopic anterior technique. </w:t>
      </w:r>
      <w:r w:rsidRPr="00EA7922">
        <w:rPr>
          <w:rFonts w:ascii="Calibri" w:eastAsia="Times New Roman" w:hAnsi="Calibri" w:cs="Calibri"/>
          <w:b/>
          <w:bCs/>
          <w:lang w:val="en-US" w:eastAsia="pt-BR"/>
        </w:rPr>
        <w:t xml:space="preserve">Oper Orthop Traumatol, </w:t>
      </w:r>
      <w:r w:rsidRPr="00EA7922">
        <w:rPr>
          <w:rFonts w:ascii="Calibri" w:eastAsia="Times New Roman" w:hAnsi="Calibri" w:cs="Calibri"/>
          <w:lang w:val="en-US" w:eastAsia="pt-BR"/>
        </w:rPr>
        <w:t xml:space="preserve">v. 31, n. Suppl 1, p. 1-10, Jan 2019. ISSN 1439-0981. Disponível em: &lt; </w:t>
      </w:r>
      <w:r w:rsidRPr="00EA7922">
        <w:rPr>
          <w:rFonts w:ascii="Calibri" w:eastAsia="Times New Roman" w:hAnsi="Calibri" w:cs="Calibri"/>
          <w:color w:val="0260BF"/>
          <w:lang w:val="en-US" w:eastAsia="pt-BR"/>
        </w:rPr>
        <w:t xml:space="preserve">https://www.ncbi.nlm.nih.gov/pubmed/29392340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CLOWARD, R. B. The anterior approach for removal of ruptured cervical disks. </w:t>
      </w:r>
      <w:r w:rsidRPr="00EA7922">
        <w:rPr>
          <w:rFonts w:ascii="Calibri" w:eastAsia="Times New Roman" w:hAnsi="Calibri" w:cs="Calibri"/>
          <w:b/>
          <w:bCs/>
          <w:lang w:eastAsia="pt-BR"/>
        </w:rPr>
        <w:t xml:space="preserve">J Neurosurg, </w:t>
      </w:r>
      <w:r w:rsidRPr="00EA7922">
        <w:rPr>
          <w:rFonts w:ascii="Calibri" w:eastAsia="Times New Roman" w:hAnsi="Calibri" w:cs="Calibri"/>
          <w:lang w:eastAsia="pt-BR"/>
        </w:rPr>
        <w:t xml:space="preserve">v. 15, n. 6, p. 602-17, Nov 1958. ISSN 0022-3085. Disponível em: &lt; </w:t>
      </w:r>
      <w:r w:rsidRPr="00EA7922">
        <w:rPr>
          <w:rFonts w:ascii="Calibri" w:eastAsia="Times New Roman" w:hAnsi="Calibri" w:cs="Calibri"/>
          <w:color w:val="0260BF"/>
          <w:lang w:eastAsia="pt-BR"/>
        </w:rPr>
        <w:t xml:space="preserve">https://www.ncbi.nlm.nih.gov/pubmed/13599052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NABHAN, A. et al. Disc replacement using Pro-Disc C versus fusion: a prospective randomised and controlled radiographic and clinical study. </w:t>
      </w:r>
      <w:r w:rsidRPr="00EA7922">
        <w:rPr>
          <w:rFonts w:ascii="Calibri" w:eastAsia="Times New Roman" w:hAnsi="Calibri" w:cs="Calibri"/>
          <w:b/>
          <w:bCs/>
          <w:lang w:eastAsia="pt-BR"/>
        </w:rPr>
        <w:t xml:space="preserve">Eur Spine J, </w:t>
      </w:r>
      <w:r w:rsidRPr="00EA7922">
        <w:rPr>
          <w:rFonts w:ascii="Calibri" w:eastAsia="Times New Roman" w:hAnsi="Calibri" w:cs="Calibri"/>
          <w:lang w:eastAsia="pt-BR"/>
        </w:rPr>
        <w:t xml:space="preserve">v. 16, n. 3, p. 423-30, Mar 2007. ISSN 0940-6719. Disponível em: &lt; </w:t>
      </w:r>
      <w:r w:rsidRPr="00EA7922">
        <w:rPr>
          <w:rFonts w:ascii="Calibri" w:eastAsia="Times New Roman" w:hAnsi="Calibri" w:cs="Calibri"/>
          <w:color w:val="0260BF"/>
          <w:lang w:eastAsia="pt-BR"/>
        </w:rPr>
        <w:t xml:space="preserve">https://www.ncbi.nlm.nih.gov/pubmed/17106665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HEARY, R. F. et al. Cervical laminoforaminotomy for the treatment of cervical degenerative radiculopathy. </w:t>
      </w:r>
      <w:r w:rsidRPr="00EA7922">
        <w:rPr>
          <w:rFonts w:ascii="Calibri" w:eastAsia="Times New Roman" w:hAnsi="Calibri" w:cs="Calibri"/>
          <w:b/>
          <w:bCs/>
          <w:lang w:eastAsia="pt-BR"/>
        </w:rPr>
        <w:t xml:space="preserve">J Neurosurg Spine, </w:t>
      </w:r>
      <w:r w:rsidRPr="00EA7922">
        <w:rPr>
          <w:rFonts w:ascii="Calibri" w:eastAsia="Times New Roman" w:hAnsi="Calibri" w:cs="Calibri"/>
          <w:lang w:eastAsia="pt-BR"/>
        </w:rPr>
        <w:t xml:space="preserve">v. 11, n. 2, p. 198-202, Aug 2009. ISSN 1547-5654. Disponível em: &lt; </w:t>
      </w:r>
      <w:r w:rsidRPr="00EA7922">
        <w:rPr>
          <w:rFonts w:ascii="Calibri" w:eastAsia="Times New Roman" w:hAnsi="Calibri" w:cs="Calibri"/>
          <w:color w:val="0260BF"/>
          <w:lang w:eastAsia="pt-BR"/>
        </w:rPr>
        <w:t xml:space="preserve">https://www.ncbi.nlm.nih.gov/pubmed/19769499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SONG, K. J.; CHOI, B. Y. Current concepts of anterior cervical discectomy and fusion: a review of literature. </w:t>
      </w:r>
      <w:r w:rsidRPr="00EA7922">
        <w:rPr>
          <w:rFonts w:ascii="Calibri" w:eastAsia="Times New Roman" w:hAnsi="Calibri" w:cs="Calibri"/>
          <w:b/>
          <w:bCs/>
          <w:lang w:val="en-US" w:eastAsia="pt-BR"/>
        </w:rPr>
        <w:t xml:space="preserve">Asian Spine J, </w:t>
      </w:r>
      <w:r w:rsidRPr="00EA7922">
        <w:rPr>
          <w:rFonts w:ascii="Calibri" w:eastAsia="Times New Roman" w:hAnsi="Calibri" w:cs="Calibri"/>
          <w:lang w:val="en-US" w:eastAsia="pt-BR"/>
        </w:rPr>
        <w:t xml:space="preserve">v. 8, n. 4, p. 531-9, Aug 2014. ISSN 1976-1902. Disponível em: &lt; </w:t>
      </w:r>
      <w:r w:rsidRPr="00EA7922">
        <w:rPr>
          <w:rFonts w:ascii="Calibri" w:eastAsia="Times New Roman" w:hAnsi="Calibri" w:cs="Calibri"/>
          <w:color w:val="0260BF"/>
          <w:lang w:val="en-US" w:eastAsia="pt-BR"/>
        </w:rPr>
        <w:t xml:space="preserve">https://www.ncbi.nlm.nih.gov/pubmed/25187874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WONG, J. J. et al. The course and prognostic factors of symptomatic cervical disc herniation with radiculopathy: a systematic review of the literature. </w:t>
      </w:r>
      <w:r w:rsidRPr="00EA7922">
        <w:rPr>
          <w:rFonts w:ascii="Calibri" w:eastAsia="Times New Roman" w:hAnsi="Calibri" w:cs="Calibri"/>
          <w:b/>
          <w:bCs/>
          <w:lang w:eastAsia="pt-BR"/>
        </w:rPr>
        <w:t xml:space="preserve">Spine J, </w:t>
      </w:r>
      <w:r w:rsidRPr="00EA7922">
        <w:rPr>
          <w:rFonts w:ascii="Calibri" w:eastAsia="Times New Roman" w:hAnsi="Calibri" w:cs="Calibri"/>
          <w:lang w:eastAsia="pt-BR"/>
        </w:rPr>
        <w:t xml:space="preserve">v. 14, n. 8, p. 1781-9, Aug 2014. ISSN 1878-1632. Disponível em: &lt; </w:t>
      </w:r>
      <w:r w:rsidRPr="00EA7922">
        <w:rPr>
          <w:rFonts w:ascii="Calibri" w:eastAsia="Times New Roman" w:hAnsi="Calibri" w:cs="Calibri"/>
          <w:color w:val="0260BF"/>
          <w:lang w:eastAsia="pt-BR"/>
        </w:rPr>
        <w:t xml:space="preserve">https://www.ncbi.nlm.nih.gov/pubmed/24614255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RUETTEN, S. et al. Full-endoscopic cervical posterior foraminotomy for the operation of lateral disc herniations using 5.9-mm endoscopes: a prospective, randomized, controlled study. </w:t>
      </w:r>
      <w:r w:rsidRPr="00EA7922">
        <w:rPr>
          <w:rFonts w:ascii="Calibri" w:eastAsia="Times New Roman" w:hAnsi="Calibri" w:cs="Calibri"/>
          <w:b/>
          <w:bCs/>
          <w:lang w:eastAsia="pt-BR"/>
        </w:rPr>
        <w:t xml:space="preserve">Spine (Phila Pa 1976), </w:t>
      </w:r>
      <w:r w:rsidRPr="00EA7922">
        <w:rPr>
          <w:rFonts w:ascii="Calibri" w:eastAsia="Times New Roman" w:hAnsi="Calibri" w:cs="Calibri"/>
          <w:lang w:eastAsia="pt-BR"/>
        </w:rPr>
        <w:t xml:space="preserve">v. 33, n. 9, p. 940-8, Apr 2008. ISSN 1528-1159. Disponível em: &lt; </w:t>
      </w:r>
      <w:r w:rsidRPr="00EA7922">
        <w:rPr>
          <w:rFonts w:ascii="Calibri" w:eastAsia="Times New Roman" w:hAnsi="Calibri" w:cs="Calibri"/>
          <w:color w:val="0260BF"/>
          <w:lang w:eastAsia="pt-BR"/>
        </w:rPr>
        <w:t xml:space="preserve">https://www.ncbi.nlm.nih.gov/pubmed/18427313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ZHANG, C. et al. Posterior Endoscopic Cervical Decompression: Review and Technical Note. </w:t>
      </w:r>
      <w:r w:rsidRPr="00EA7922">
        <w:rPr>
          <w:rFonts w:ascii="Calibri" w:eastAsia="Times New Roman" w:hAnsi="Calibri" w:cs="Calibri"/>
          <w:b/>
          <w:bCs/>
          <w:lang w:eastAsia="pt-BR"/>
        </w:rPr>
        <w:t xml:space="preserve">Neurospine, </w:t>
      </w:r>
      <w:r w:rsidRPr="00EA7922">
        <w:rPr>
          <w:rFonts w:ascii="Calibri" w:eastAsia="Times New Roman" w:hAnsi="Calibri" w:cs="Calibri"/>
          <w:lang w:eastAsia="pt-BR"/>
        </w:rPr>
        <w:t xml:space="preserve">v. 17, n. Suppl 1, p. S74-S80, Jul 2020. ISSN 2586-6583. Disponível em: &lt; </w:t>
      </w:r>
      <w:r w:rsidRPr="00EA7922">
        <w:rPr>
          <w:rFonts w:ascii="Calibri" w:eastAsia="Times New Roman" w:hAnsi="Calibri" w:cs="Calibri"/>
          <w:color w:val="0260BF"/>
          <w:lang w:eastAsia="pt-BR"/>
        </w:rPr>
        <w:t xml:space="preserve">https://www.ncbi.nlm.nih.gov/pubmed/32746520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CHEN, B. L. et al. [Clinical outcomes of cervical disc herniation treated by posterior percutaneous endoscopic cervical discectomy]. </w:t>
      </w:r>
      <w:r w:rsidRPr="00EA7922">
        <w:rPr>
          <w:rFonts w:ascii="Calibri" w:eastAsia="Times New Roman" w:hAnsi="Calibri" w:cs="Calibri"/>
          <w:b/>
          <w:bCs/>
          <w:lang w:val="en-US" w:eastAsia="pt-BR"/>
        </w:rPr>
        <w:t xml:space="preserve">Zhonghua Wai Ke Za Zhi, </w:t>
      </w:r>
      <w:r w:rsidRPr="00EA7922">
        <w:rPr>
          <w:rFonts w:ascii="Calibri" w:eastAsia="Times New Roman" w:hAnsi="Calibri" w:cs="Calibri"/>
          <w:lang w:val="en-US" w:eastAsia="pt-BR"/>
        </w:rPr>
        <w:t xml:space="preserve">v. 55, n. 12, p. 923-927, Dec 2017. ISSN 0529-5815. </w:t>
      </w:r>
      <w:r w:rsidRPr="00EA7922">
        <w:rPr>
          <w:rFonts w:ascii="Calibri" w:eastAsia="Times New Roman" w:hAnsi="Calibri" w:cs="Calibri"/>
          <w:lang w:eastAsia="pt-BR"/>
        </w:rPr>
        <w:t xml:space="preserve">Disponível em: &lt; </w:t>
      </w:r>
      <w:r w:rsidRPr="00EA7922">
        <w:rPr>
          <w:rFonts w:ascii="Calibri" w:eastAsia="Times New Roman" w:hAnsi="Calibri" w:cs="Calibri"/>
          <w:color w:val="0260BF"/>
          <w:lang w:eastAsia="pt-BR"/>
        </w:rPr>
        <w:t xml:space="preserve">https://www.ncbi.nlm.nih.gov/pubmed/29224267 </w:t>
      </w:r>
      <w:r w:rsidRPr="00EA7922">
        <w:rPr>
          <w:rFonts w:ascii="Calibri" w:eastAsia="Times New Roman" w:hAnsi="Calibri" w:cs="Calibri"/>
          <w:lang w:eastAsia="pt-BR"/>
        </w:rPr>
        <w:t>&gt;.</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JI-JUN, H. et al. Posterior full-endoscopic cervical discectomy in cervical radiculopathy: A prospective cohort study. </w:t>
      </w:r>
      <w:r w:rsidRPr="00EA7922">
        <w:rPr>
          <w:rFonts w:ascii="Calibri" w:eastAsia="Times New Roman" w:hAnsi="Calibri" w:cs="Calibri"/>
          <w:b/>
          <w:bCs/>
          <w:lang w:val="en-US" w:eastAsia="pt-BR"/>
        </w:rPr>
        <w:t xml:space="preserve">Clin Neurol Neurosurg, </w:t>
      </w:r>
      <w:r w:rsidRPr="00EA7922">
        <w:rPr>
          <w:rFonts w:ascii="Calibri" w:eastAsia="Times New Roman" w:hAnsi="Calibri" w:cs="Calibri"/>
          <w:lang w:val="en-US" w:eastAsia="pt-BR"/>
        </w:rPr>
        <w:t xml:space="preserve">v. 195, p. 105948, May 2020. ISSN 1872-6968. Disponível em: &lt; </w:t>
      </w:r>
      <w:r w:rsidRPr="00EA7922">
        <w:rPr>
          <w:rFonts w:ascii="Calibri" w:eastAsia="Times New Roman" w:hAnsi="Calibri" w:cs="Calibri"/>
          <w:color w:val="0260BF"/>
          <w:lang w:val="en-US" w:eastAsia="pt-BR"/>
        </w:rPr>
        <w:t xml:space="preserve">https://www.ncbi.nlm.nih.gov/pubmed/32512476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BUCKNALL, V.; GIBSON, J. A. Cervical endoscopic spinal surgery: A review of the current literature. </w:t>
      </w:r>
      <w:r w:rsidRPr="00EA7922">
        <w:rPr>
          <w:rFonts w:ascii="Calibri" w:eastAsia="Times New Roman" w:hAnsi="Calibri" w:cs="Calibri"/>
          <w:b/>
          <w:bCs/>
          <w:lang w:val="en-US" w:eastAsia="pt-BR"/>
        </w:rPr>
        <w:t xml:space="preserve">J Orthop Surg (Hong Kong), </w:t>
      </w:r>
      <w:r w:rsidRPr="00EA7922">
        <w:rPr>
          <w:rFonts w:ascii="Calibri" w:eastAsia="Times New Roman" w:hAnsi="Calibri" w:cs="Calibri"/>
          <w:lang w:val="en-US" w:eastAsia="pt-BR"/>
        </w:rPr>
        <w:t xml:space="preserve">v. 26, n. 1, p. 2309499018758520, 2018 Jan-Apr 2018. </w:t>
      </w:r>
      <w:r w:rsidRPr="00EA7922">
        <w:rPr>
          <w:rFonts w:ascii="Calibri" w:eastAsia="Times New Roman" w:hAnsi="Calibri" w:cs="Calibri"/>
          <w:lang w:eastAsia="pt-BR"/>
        </w:rPr>
        <w:t xml:space="preserve">ISSN 2309-4990. Disponível em: &lt; </w:t>
      </w:r>
      <w:r w:rsidRPr="00EA7922">
        <w:rPr>
          <w:rFonts w:ascii="Calibri" w:eastAsia="Times New Roman" w:hAnsi="Calibri" w:cs="Calibri"/>
          <w:color w:val="0260BF"/>
          <w:lang w:eastAsia="pt-BR"/>
        </w:rPr>
        <w:t xml:space="preserve">https://www.ncbi.nlm.nih.gov/pubmed/29455630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SPORNS, P. B. et al. Undetected Dural Leaks Complicated by Accidental Drainage of Cerebrospinal Fluid (CSF) can Lead to Severe Neurological Deficits. </w:t>
      </w:r>
      <w:r w:rsidRPr="00EA7922">
        <w:rPr>
          <w:rFonts w:ascii="Calibri" w:eastAsia="Times New Roman" w:hAnsi="Calibri" w:cs="Calibri"/>
          <w:b/>
          <w:bCs/>
          <w:lang w:eastAsia="pt-BR"/>
        </w:rPr>
        <w:t xml:space="preserve">Rofo, </w:t>
      </w:r>
      <w:r w:rsidRPr="00EA7922">
        <w:rPr>
          <w:rFonts w:ascii="Calibri" w:eastAsia="Times New Roman" w:hAnsi="Calibri" w:cs="Calibri"/>
          <w:lang w:eastAsia="pt-BR"/>
        </w:rPr>
        <w:t xml:space="preserve">v. 188, n. 5, p. 451-8, May 2016. ISSN 1438-9010. Disponível em: &lt; </w:t>
      </w:r>
      <w:r w:rsidRPr="00EA7922">
        <w:rPr>
          <w:rFonts w:ascii="Calibri" w:eastAsia="Times New Roman" w:hAnsi="Calibri" w:cs="Calibri"/>
          <w:color w:val="0260BF"/>
          <w:lang w:eastAsia="pt-BR"/>
        </w:rPr>
        <w:t xml:space="preserve">https://www.ncbi.nlm.nih.gov/pubmed/26844423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lastRenderedPageBreak/>
        <w:t xml:space="preserve">SANDON, L. H. et al. Abducens nerve palsy as a postoperative complication of minimally invasive thoracic spine surgery: a case report. </w:t>
      </w:r>
      <w:r w:rsidRPr="00EA7922">
        <w:rPr>
          <w:rFonts w:ascii="Calibri" w:eastAsia="Times New Roman" w:hAnsi="Calibri" w:cs="Calibri"/>
          <w:b/>
          <w:bCs/>
          <w:lang w:eastAsia="pt-BR"/>
        </w:rPr>
        <w:t xml:space="preserve">BMC Surg, </w:t>
      </w:r>
      <w:r w:rsidRPr="00EA7922">
        <w:rPr>
          <w:rFonts w:ascii="Calibri" w:eastAsia="Times New Roman" w:hAnsi="Calibri" w:cs="Calibri"/>
          <w:lang w:eastAsia="pt-BR"/>
        </w:rPr>
        <w:t xml:space="preserve">v. 16, n. 1, p. 47, Jul 2016. ISSN 1471-2482. Disponível em: &lt; </w:t>
      </w:r>
      <w:r w:rsidRPr="00EA7922">
        <w:rPr>
          <w:rFonts w:ascii="Calibri" w:eastAsia="Times New Roman" w:hAnsi="Calibri" w:cs="Calibri"/>
          <w:color w:val="0260BF"/>
          <w:lang w:eastAsia="pt-BR"/>
        </w:rPr>
        <w:t xml:space="preserve">https://www.ncbi.nlm.nih.gov/pubmed/27411912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WELCH, W. C. Expert's comment concerning Grand Rounds case entitled ''Intracranial hypotension with a sixth cranial nerve palsy subsequent to massive thoracic CSF hygroma: a rare complication of thoracic disc excision" (by A. Khurana, J. Brousil, A. Russo, A. Evans, N. A. Quraishi, B. M. Boszczyk doi:10.1007/s00586-013-2818-1). </w:t>
      </w:r>
      <w:r w:rsidRPr="00EA7922">
        <w:rPr>
          <w:rFonts w:ascii="Calibri" w:eastAsia="Times New Roman" w:hAnsi="Calibri" w:cs="Calibri"/>
          <w:b/>
          <w:bCs/>
          <w:lang w:eastAsia="pt-BR"/>
        </w:rPr>
        <w:t xml:space="preserve">Eur Spine J, </w:t>
      </w:r>
      <w:r w:rsidRPr="00EA7922">
        <w:rPr>
          <w:rFonts w:ascii="Calibri" w:eastAsia="Times New Roman" w:hAnsi="Calibri" w:cs="Calibri"/>
          <w:lang w:eastAsia="pt-BR"/>
        </w:rPr>
        <w:t xml:space="preserve">v. 22, n. 9, p. 2055-6, Sep 2013. ISSN 1432-0932. Disponível em: &lt; </w:t>
      </w:r>
      <w:r w:rsidRPr="00EA7922">
        <w:rPr>
          <w:rFonts w:ascii="Calibri" w:eastAsia="Times New Roman" w:hAnsi="Calibri" w:cs="Calibri"/>
          <w:color w:val="0260BF"/>
          <w:lang w:eastAsia="pt-BR"/>
        </w:rPr>
        <w:t xml:space="preserve">https://www.ncbi.nlm.nih.gov/pubmed/23728396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NAKAGAWA, H. et al. Abducens nerve palsy as a rare complication of spinal surgery: a case report. </w:t>
      </w:r>
      <w:r w:rsidRPr="00EA7922">
        <w:rPr>
          <w:rFonts w:ascii="Calibri" w:eastAsia="Times New Roman" w:hAnsi="Calibri" w:cs="Calibri"/>
          <w:b/>
          <w:bCs/>
          <w:lang w:eastAsia="pt-BR"/>
        </w:rPr>
        <w:t xml:space="preserve">J Orthop Sci, </w:t>
      </w:r>
      <w:r w:rsidRPr="00EA7922">
        <w:rPr>
          <w:rFonts w:ascii="Calibri" w:eastAsia="Times New Roman" w:hAnsi="Calibri" w:cs="Calibri"/>
          <w:lang w:eastAsia="pt-BR"/>
        </w:rPr>
        <w:t xml:space="preserve">v. 8, n. 6, p. 869-71, 2003. ISSN 0949-2658. Disponível em: &lt; </w:t>
      </w:r>
      <w:r w:rsidRPr="00EA7922">
        <w:rPr>
          <w:rFonts w:ascii="Calibri" w:eastAsia="Times New Roman" w:hAnsi="Calibri" w:cs="Calibri"/>
          <w:color w:val="0260BF"/>
          <w:lang w:eastAsia="pt-BR"/>
        </w:rPr>
        <w:t xml:space="preserve">https://www.ncbi.nlm.nih.gov/pubmed/14648279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KHURANA, A. et al. Intracranial hypotension with a sixth cranial nerve palsy subsequent to massive thoracic CSF hygroma: a rare complication of thoracic disc excision. </w:t>
      </w:r>
      <w:r w:rsidRPr="00EA7922">
        <w:rPr>
          <w:rFonts w:ascii="Calibri" w:eastAsia="Times New Roman" w:hAnsi="Calibri" w:cs="Calibri"/>
          <w:b/>
          <w:bCs/>
          <w:lang w:eastAsia="pt-BR"/>
        </w:rPr>
        <w:t xml:space="preserve">Eur Spine J, </w:t>
      </w:r>
      <w:r w:rsidRPr="00EA7922">
        <w:rPr>
          <w:rFonts w:ascii="Calibri" w:eastAsia="Times New Roman" w:hAnsi="Calibri" w:cs="Calibri"/>
          <w:lang w:eastAsia="pt-BR"/>
        </w:rPr>
        <w:t xml:space="preserve">v. 22, n. 9, p. 2047-54, Sep 2013. ISSN 1432-0932. Disponível em: &lt; </w:t>
      </w:r>
      <w:r w:rsidRPr="00EA7922">
        <w:rPr>
          <w:rFonts w:ascii="Calibri" w:eastAsia="Times New Roman" w:hAnsi="Calibri" w:cs="Calibri"/>
          <w:color w:val="0260BF"/>
          <w:lang w:eastAsia="pt-BR"/>
        </w:rPr>
        <w:t xml:space="preserve">https://www.ncbi.nlm.nih.gov/pubmed/23728395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JOO, J. D. et al. Isolated abducens nerve palsy due to cerebrospinal fluid leakage following lumbar discectomy: a rare clinical entity. </w:t>
      </w:r>
      <w:r w:rsidRPr="00EA7922">
        <w:rPr>
          <w:rFonts w:ascii="Calibri" w:eastAsia="Times New Roman" w:hAnsi="Calibri" w:cs="Calibri"/>
          <w:b/>
          <w:bCs/>
          <w:lang w:val="en-US" w:eastAsia="pt-BR"/>
        </w:rPr>
        <w:t xml:space="preserve">Eur Spine J, </w:t>
      </w:r>
      <w:r w:rsidRPr="00EA7922">
        <w:rPr>
          <w:rFonts w:ascii="Calibri" w:eastAsia="Times New Roman" w:hAnsi="Calibri" w:cs="Calibri"/>
          <w:lang w:val="en-US" w:eastAsia="pt-BR"/>
        </w:rPr>
        <w:t xml:space="preserve">v. 22 Suppl 3, p. S421- 3, May 2013. ISSN 1432-0932. Disponível em: &lt; </w:t>
      </w:r>
      <w:r w:rsidRPr="00EA7922">
        <w:rPr>
          <w:rFonts w:ascii="Calibri" w:eastAsia="Times New Roman" w:hAnsi="Calibri" w:cs="Calibri"/>
          <w:color w:val="0260BF"/>
          <w:lang w:val="en-US" w:eastAsia="pt-BR"/>
        </w:rPr>
        <w:t xml:space="preserve">https://www.ncbi.nlm.nih.gov/pubmed/23070639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CHO, D. C.; JUNG, E. S.; CHI, Y. C. Abducens nerve palsy after lumbar spinal fusion surgery with inadvertent dural tearing. </w:t>
      </w:r>
      <w:r w:rsidRPr="00EA7922">
        <w:rPr>
          <w:rFonts w:ascii="Calibri" w:eastAsia="Times New Roman" w:hAnsi="Calibri" w:cs="Calibri"/>
          <w:b/>
          <w:bCs/>
          <w:lang w:eastAsia="pt-BR"/>
        </w:rPr>
        <w:t xml:space="preserve">J Korean Neurosurg Soc, </w:t>
      </w:r>
      <w:r w:rsidRPr="00EA7922">
        <w:rPr>
          <w:rFonts w:ascii="Calibri" w:eastAsia="Times New Roman" w:hAnsi="Calibri" w:cs="Calibri"/>
          <w:lang w:eastAsia="pt-BR"/>
        </w:rPr>
        <w:t xml:space="preserve">v. 46, n. 6, p. 581-3, Dec 2009. ISSN 1598-7876. Disponível em: &lt; </w:t>
      </w:r>
      <w:r w:rsidRPr="00EA7922">
        <w:rPr>
          <w:rFonts w:ascii="Calibri" w:eastAsia="Times New Roman" w:hAnsi="Calibri" w:cs="Calibri"/>
          <w:color w:val="0260BF"/>
          <w:lang w:eastAsia="pt-BR"/>
        </w:rPr>
        <w:t xml:space="preserve">https://www.ncbi.nlm.nih.gov/pubmed/20062577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FERRANTE, E. et al. Pseudo-subarachnoid hemorrhage: a potential imaging pitfall associated with spontaneous intracranial hypotension. </w:t>
      </w:r>
      <w:r w:rsidRPr="00EA7922">
        <w:rPr>
          <w:rFonts w:ascii="Calibri" w:eastAsia="Times New Roman" w:hAnsi="Calibri" w:cs="Calibri"/>
          <w:b/>
          <w:bCs/>
          <w:lang w:eastAsia="pt-BR"/>
        </w:rPr>
        <w:t xml:space="preserve">Clin Neurol Neurosurg, </w:t>
      </w:r>
      <w:r w:rsidRPr="00EA7922">
        <w:rPr>
          <w:rFonts w:ascii="Calibri" w:eastAsia="Times New Roman" w:hAnsi="Calibri" w:cs="Calibri"/>
          <w:lang w:eastAsia="pt-BR"/>
        </w:rPr>
        <w:t xml:space="preserve">v. 115, n. 11, p. 2324-8, Nov 2013. ISSN 1872-6968. Disponível em: &lt; </w:t>
      </w:r>
      <w:r w:rsidRPr="00EA7922">
        <w:rPr>
          <w:rFonts w:ascii="Calibri" w:eastAsia="Times New Roman" w:hAnsi="Calibri" w:cs="Calibri"/>
          <w:color w:val="0260BF"/>
          <w:lang w:eastAsia="pt-BR"/>
        </w:rPr>
        <w:t xml:space="preserve">https://www.ncbi.nlm.nih.gov/pubmed/24075686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val="en-US" w:eastAsia="pt-BR"/>
        </w:rPr>
      </w:pPr>
      <w:r w:rsidRPr="00EA7922">
        <w:rPr>
          <w:rFonts w:ascii="Calibri" w:eastAsia="Times New Roman" w:hAnsi="Calibri" w:cs="Calibri"/>
          <w:lang w:val="en-US" w:eastAsia="pt-BR"/>
        </w:rPr>
        <w:t xml:space="preserve">OPPO, V. et al. Widening the spectrum of secondary headache: intracranial hypotension following a non-aneurysmal subarachnoid hemorrhage. </w:t>
      </w:r>
      <w:r w:rsidRPr="00EA7922">
        <w:rPr>
          <w:rFonts w:ascii="Calibri" w:eastAsia="Times New Roman" w:hAnsi="Calibri" w:cs="Calibri"/>
          <w:b/>
          <w:bCs/>
          <w:lang w:val="en-US" w:eastAsia="pt-BR"/>
        </w:rPr>
        <w:t xml:space="preserve">Neurol Sci, </w:t>
      </w:r>
      <w:r w:rsidRPr="00EA7922">
        <w:rPr>
          <w:rFonts w:ascii="Calibri" w:eastAsia="Times New Roman" w:hAnsi="Calibri" w:cs="Calibri"/>
          <w:lang w:val="en-US" w:eastAsia="pt-BR"/>
        </w:rPr>
        <w:t xml:space="preserve">v. 40, n. 10, p. 2179-2181, Oct 2019. ISSN 1590-3478. Disponível em: &lt; </w:t>
      </w:r>
      <w:r w:rsidRPr="00EA7922">
        <w:rPr>
          <w:rFonts w:ascii="Calibri" w:eastAsia="Times New Roman" w:hAnsi="Calibri" w:cs="Calibri"/>
          <w:color w:val="0260BF"/>
          <w:lang w:val="en-US" w:eastAsia="pt-BR"/>
        </w:rPr>
        <w:t xml:space="preserve">https://www.ncbi.nlm.nih.gov/pubmed/30847675 </w:t>
      </w:r>
      <w:r w:rsidRPr="00EA7922">
        <w:rPr>
          <w:rFonts w:ascii="Calibri" w:eastAsia="Times New Roman" w:hAnsi="Calibri" w:cs="Calibri"/>
          <w:lang w:val="en-US"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SCHIEVINK, W. I. et al. Spontaneous intracranial hypotension mimicking aneurysmal subarachnoid hemorrhage. </w:t>
      </w:r>
      <w:r w:rsidRPr="00EA7922">
        <w:rPr>
          <w:rFonts w:ascii="Calibri" w:eastAsia="Times New Roman" w:hAnsi="Calibri" w:cs="Calibri"/>
          <w:b/>
          <w:bCs/>
          <w:lang w:eastAsia="pt-BR"/>
        </w:rPr>
        <w:t xml:space="preserve">Neurosurgery, </w:t>
      </w:r>
      <w:r w:rsidRPr="00EA7922">
        <w:rPr>
          <w:rFonts w:ascii="Calibri" w:eastAsia="Times New Roman" w:hAnsi="Calibri" w:cs="Calibri"/>
          <w:lang w:eastAsia="pt-BR"/>
        </w:rPr>
        <w:t xml:space="preserve">v. 48, n. 3, p. 513-6; discussion 516-7, Mar 2001. ISSN 0148-396X. Disponível em: &lt; </w:t>
      </w:r>
      <w:r w:rsidRPr="00EA7922">
        <w:rPr>
          <w:rFonts w:ascii="Calibri" w:eastAsia="Times New Roman" w:hAnsi="Calibri" w:cs="Calibri"/>
          <w:color w:val="0260BF"/>
          <w:lang w:eastAsia="pt-BR"/>
        </w:rPr>
        <w:t xml:space="preserve">https://www.ncbi.nlm.nih.gov/pubmed/11270540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SCHIEVINK, W. I. Stroke and death due to spontaneous intracranial hypotension. </w:t>
      </w:r>
      <w:r w:rsidRPr="00EA7922">
        <w:rPr>
          <w:rFonts w:ascii="Calibri" w:eastAsia="Times New Roman" w:hAnsi="Calibri" w:cs="Calibri"/>
          <w:b/>
          <w:bCs/>
          <w:lang w:eastAsia="pt-BR"/>
        </w:rPr>
        <w:t xml:space="preserve">Neurocrit Care, </w:t>
      </w:r>
      <w:r w:rsidRPr="00EA7922">
        <w:rPr>
          <w:rFonts w:ascii="Calibri" w:eastAsia="Times New Roman" w:hAnsi="Calibri" w:cs="Calibri"/>
          <w:lang w:eastAsia="pt-BR"/>
        </w:rPr>
        <w:t xml:space="preserve">v. 18, n. 2, p. 248-51, Apr 2013. ISSN 1556-0961. Disponível em: &lt; </w:t>
      </w:r>
      <w:r w:rsidRPr="00EA7922">
        <w:rPr>
          <w:rFonts w:ascii="Calibri" w:eastAsia="Times New Roman" w:hAnsi="Calibri" w:cs="Calibri"/>
          <w:color w:val="0260BF"/>
          <w:lang w:eastAsia="pt-BR"/>
        </w:rPr>
        <w:t xml:space="preserve">https://www.ncbi.nlm.nih.gov/pubmed/23196352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SCHIEVINK, W. I.; MAYA, M. M. Diffuse non-aneurysmal SAH in spontaneous intracranial hypotension: Sequela of ventral CSF leak? </w:t>
      </w:r>
      <w:r w:rsidRPr="00EA7922">
        <w:rPr>
          <w:rFonts w:ascii="Calibri" w:eastAsia="Times New Roman" w:hAnsi="Calibri" w:cs="Calibri"/>
          <w:b/>
          <w:bCs/>
          <w:lang w:eastAsia="pt-BR"/>
        </w:rPr>
        <w:t xml:space="preserve">Cephalalgia, </w:t>
      </w:r>
      <w:r w:rsidRPr="00EA7922">
        <w:rPr>
          <w:rFonts w:ascii="Calibri" w:eastAsia="Times New Roman" w:hAnsi="Calibri" w:cs="Calibri"/>
          <w:lang w:eastAsia="pt-BR"/>
        </w:rPr>
        <w:t xml:space="preserve">v. 36, n. 6, p. 589- 92, May 2016. ISSN 1468-2982. Disponível em: &lt; </w:t>
      </w:r>
      <w:r w:rsidRPr="00EA7922">
        <w:rPr>
          <w:rFonts w:ascii="Calibri" w:eastAsia="Times New Roman" w:hAnsi="Calibri" w:cs="Calibri"/>
          <w:color w:val="0260BF"/>
          <w:lang w:eastAsia="pt-BR"/>
        </w:rPr>
        <w:t xml:space="preserve">https://www.ncbi.nlm.nih.gov/pubmed/26346560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JOH, J. Y. et al. Comparative study of neck pain in relation to increase of cervical epidural pressure during percutaneous endoscopic lumbar discectomy. </w:t>
      </w:r>
      <w:r w:rsidRPr="00EA7922">
        <w:rPr>
          <w:rFonts w:ascii="Calibri" w:eastAsia="Times New Roman" w:hAnsi="Calibri" w:cs="Calibri"/>
          <w:b/>
          <w:bCs/>
          <w:lang w:eastAsia="pt-BR"/>
        </w:rPr>
        <w:t xml:space="preserve">Spine </w:t>
      </w:r>
      <w:r w:rsidRPr="00EA7922">
        <w:rPr>
          <w:rFonts w:ascii="Calibri" w:eastAsia="Times New Roman" w:hAnsi="Calibri" w:cs="Calibri"/>
          <w:b/>
          <w:bCs/>
          <w:lang w:eastAsia="pt-BR"/>
        </w:rPr>
        <w:lastRenderedPageBreak/>
        <w:t xml:space="preserve">(Phila Pa 1976), </w:t>
      </w:r>
      <w:r w:rsidRPr="00EA7922">
        <w:rPr>
          <w:rFonts w:ascii="Calibri" w:eastAsia="Times New Roman" w:hAnsi="Calibri" w:cs="Calibri"/>
          <w:lang w:eastAsia="pt-BR"/>
        </w:rPr>
        <w:t xml:space="preserve">v. 34, n. 19, p. 2033-8, Sep 2009. ISSN 1528-1159. Disponível em: &lt; </w:t>
      </w:r>
      <w:r w:rsidRPr="00EA7922">
        <w:rPr>
          <w:rFonts w:ascii="Calibri" w:eastAsia="Times New Roman" w:hAnsi="Calibri" w:cs="Calibri"/>
          <w:color w:val="0260BF"/>
          <w:lang w:eastAsia="pt-BR"/>
        </w:rPr>
        <w:t xml:space="preserve">https://www.ncbi.nlm.nih.gov/pubmed/19675511 </w:t>
      </w:r>
      <w:r w:rsidRPr="00EA7922">
        <w:rPr>
          <w:rFonts w:ascii="Calibri" w:eastAsia="Times New Roman" w:hAnsi="Calibri" w:cs="Calibri"/>
          <w:lang w:eastAsia="pt-BR"/>
        </w:rPr>
        <w:t xml:space="preserve">&gt;. </w:t>
      </w:r>
    </w:p>
    <w:p w:rsidR="005E4D69" w:rsidRPr="00EA7922" w:rsidRDefault="005E4D69" w:rsidP="00EA7922">
      <w:pPr>
        <w:pStyle w:val="PargrafodaLista"/>
        <w:numPr>
          <w:ilvl w:val="0"/>
          <w:numId w:val="1"/>
        </w:numPr>
        <w:spacing w:before="100" w:beforeAutospacing="1" w:after="100" w:afterAutospacing="1"/>
        <w:rPr>
          <w:rFonts w:ascii="Times New Roman" w:eastAsia="Times New Roman" w:hAnsi="Times New Roman" w:cs="Times New Roman"/>
          <w:lang w:eastAsia="pt-BR"/>
        </w:rPr>
      </w:pPr>
      <w:r w:rsidRPr="00EA7922">
        <w:rPr>
          <w:rFonts w:ascii="Calibri" w:eastAsia="Times New Roman" w:hAnsi="Calibri" w:cs="Calibri"/>
          <w:lang w:val="en-US" w:eastAsia="pt-BR"/>
        </w:rPr>
        <w:t xml:space="preserve">CHOI, G. et al. Risk of developing seizure after percutaneous endoscopic lumbar discectomy. </w:t>
      </w:r>
      <w:r w:rsidRPr="00EA7922">
        <w:rPr>
          <w:rFonts w:ascii="Calibri" w:eastAsia="Times New Roman" w:hAnsi="Calibri" w:cs="Calibri"/>
          <w:b/>
          <w:bCs/>
          <w:lang w:eastAsia="pt-BR"/>
        </w:rPr>
        <w:t xml:space="preserve">J Spinal Disord Tech, </w:t>
      </w:r>
      <w:r w:rsidRPr="00EA7922">
        <w:rPr>
          <w:rFonts w:ascii="Calibri" w:eastAsia="Times New Roman" w:hAnsi="Calibri" w:cs="Calibri"/>
          <w:lang w:eastAsia="pt-BR"/>
        </w:rPr>
        <w:t xml:space="preserve">v. 24, n. 2, p. 83-92, Apr 2011. ISSN 1539-2465. Disponível em: &lt; </w:t>
      </w:r>
      <w:r w:rsidRPr="00EA7922">
        <w:rPr>
          <w:rFonts w:ascii="Calibri" w:eastAsia="Times New Roman" w:hAnsi="Calibri" w:cs="Calibri"/>
          <w:color w:val="0260BF"/>
          <w:lang w:eastAsia="pt-BR"/>
        </w:rPr>
        <w:t xml:space="preserve">https://www.ncbi.nlm.nih.gov/pubmed/20625320 </w:t>
      </w:r>
      <w:r w:rsidRPr="00EA7922">
        <w:rPr>
          <w:rFonts w:ascii="Calibri" w:eastAsia="Times New Roman" w:hAnsi="Calibri" w:cs="Calibri"/>
          <w:lang w:eastAsia="pt-BR"/>
        </w:rPr>
        <w:t xml:space="preserve">&gt;. </w:t>
      </w:r>
    </w:p>
    <w:p w:rsidR="005E4D69" w:rsidRDefault="005E4D69">
      <w:pPr>
        <w:rPr>
          <w:b/>
        </w:rPr>
      </w:pPr>
    </w:p>
    <w:p w:rsidR="005E4D69" w:rsidRPr="005E4D69" w:rsidRDefault="005E4D69"/>
    <w:sectPr w:rsidR="005E4D69" w:rsidRPr="005E4D69" w:rsidSect="005D17DC">
      <w:pgSz w:w="11900" w:h="16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ArialMT">
    <w:altName w:val="Arial"/>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5FC6439"/>
    <w:multiLevelType w:val="hybridMultilevel"/>
    <w:tmpl w:val="4FA011EC"/>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03BA"/>
    <w:rsid w:val="000C5D9C"/>
    <w:rsid w:val="001100D4"/>
    <w:rsid w:val="00141164"/>
    <w:rsid w:val="00203908"/>
    <w:rsid w:val="002E512C"/>
    <w:rsid w:val="002F03BA"/>
    <w:rsid w:val="00390A5F"/>
    <w:rsid w:val="00392856"/>
    <w:rsid w:val="00454E88"/>
    <w:rsid w:val="00472BC8"/>
    <w:rsid w:val="005D17DC"/>
    <w:rsid w:val="005E4D69"/>
    <w:rsid w:val="006106C8"/>
    <w:rsid w:val="00692428"/>
    <w:rsid w:val="009E5965"/>
    <w:rsid w:val="00CD77D0"/>
    <w:rsid w:val="00D153C6"/>
    <w:rsid w:val="00E666D3"/>
    <w:rsid w:val="00EA792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61A15A7"/>
  <w15:chartTrackingRefBased/>
  <w15:docId w15:val="{2A9E3F32-617E-CF45-AF3B-2FC974BDD5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semiHidden/>
    <w:unhideWhenUsed/>
    <w:rsid w:val="002F03BA"/>
    <w:pPr>
      <w:spacing w:before="100" w:beforeAutospacing="1" w:after="100" w:afterAutospacing="1"/>
    </w:pPr>
    <w:rPr>
      <w:rFonts w:ascii="Times New Roman" w:eastAsia="Times New Roman" w:hAnsi="Times New Roman" w:cs="Times New Roman"/>
      <w:lang w:eastAsia="pt-BR"/>
    </w:rPr>
  </w:style>
  <w:style w:type="paragraph" w:styleId="PargrafodaLista">
    <w:name w:val="List Paragraph"/>
    <w:basedOn w:val="Normal"/>
    <w:uiPriority w:val="34"/>
    <w:qFormat/>
    <w:rsid w:val="00EA7922"/>
    <w:pPr>
      <w:ind w:left="720"/>
      <w:contextualSpacing/>
    </w:pPr>
  </w:style>
  <w:style w:type="paragraph" w:styleId="Textodebalo">
    <w:name w:val="Balloon Text"/>
    <w:basedOn w:val="Normal"/>
    <w:link w:val="TextodebaloChar"/>
    <w:uiPriority w:val="99"/>
    <w:semiHidden/>
    <w:unhideWhenUsed/>
    <w:rsid w:val="00CD77D0"/>
    <w:rPr>
      <w:rFonts w:ascii="Times New Roman" w:hAnsi="Times New Roman" w:cs="Times New Roman"/>
      <w:sz w:val="18"/>
      <w:szCs w:val="18"/>
    </w:rPr>
  </w:style>
  <w:style w:type="character" w:customStyle="1" w:styleId="TextodebaloChar">
    <w:name w:val="Texto de balão Char"/>
    <w:basedOn w:val="Fontepargpadro"/>
    <w:link w:val="Textodebalo"/>
    <w:uiPriority w:val="99"/>
    <w:semiHidden/>
    <w:rsid w:val="00CD77D0"/>
    <w:rPr>
      <w:rFonts w:ascii="Times New Roman"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896278">
      <w:bodyDiv w:val="1"/>
      <w:marLeft w:val="0"/>
      <w:marRight w:val="0"/>
      <w:marTop w:val="0"/>
      <w:marBottom w:val="0"/>
      <w:divBdr>
        <w:top w:val="none" w:sz="0" w:space="0" w:color="auto"/>
        <w:left w:val="none" w:sz="0" w:space="0" w:color="auto"/>
        <w:bottom w:val="none" w:sz="0" w:space="0" w:color="auto"/>
        <w:right w:val="none" w:sz="0" w:space="0" w:color="auto"/>
      </w:divBdr>
      <w:divsChild>
        <w:div w:id="119806043">
          <w:marLeft w:val="0"/>
          <w:marRight w:val="0"/>
          <w:marTop w:val="0"/>
          <w:marBottom w:val="0"/>
          <w:divBdr>
            <w:top w:val="none" w:sz="0" w:space="0" w:color="auto"/>
            <w:left w:val="none" w:sz="0" w:space="0" w:color="auto"/>
            <w:bottom w:val="none" w:sz="0" w:space="0" w:color="auto"/>
            <w:right w:val="none" w:sz="0" w:space="0" w:color="auto"/>
          </w:divBdr>
          <w:divsChild>
            <w:div w:id="2042971147">
              <w:marLeft w:val="0"/>
              <w:marRight w:val="0"/>
              <w:marTop w:val="0"/>
              <w:marBottom w:val="0"/>
              <w:divBdr>
                <w:top w:val="none" w:sz="0" w:space="0" w:color="auto"/>
                <w:left w:val="none" w:sz="0" w:space="0" w:color="auto"/>
                <w:bottom w:val="none" w:sz="0" w:space="0" w:color="auto"/>
                <w:right w:val="none" w:sz="0" w:space="0" w:color="auto"/>
              </w:divBdr>
              <w:divsChild>
                <w:div w:id="119006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207554">
          <w:marLeft w:val="0"/>
          <w:marRight w:val="0"/>
          <w:marTop w:val="0"/>
          <w:marBottom w:val="0"/>
          <w:divBdr>
            <w:top w:val="none" w:sz="0" w:space="0" w:color="auto"/>
            <w:left w:val="none" w:sz="0" w:space="0" w:color="auto"/>
            <w:bottom w:val="none" w:sz="0" w:space="0" w:color="auto"/>
            <w:right w:val="none" w:sz="0" w:space="0" w:color="auto"/>
          </w:divBdr>
          <w:divsChild>
            <w:div w:id="932249731">
              <w:marLeft w:val="0"/>
              <w:marRight w:val="0"/>
              <w:marTop w:val="0"/>
              <w:marBottom w:val="0"/>
              <w:divBdr>
                <w:top w:val="none" w:sz="0" w:space="0" w:color="auto"/>
                <w:left w:val="none" w:sz="0" w:space="0" w:color="auto"/>
                <w:bottom w:val="none" w:sz="0" w:space="0" w:color="auto"/>
                <w:right w:val="none" w:sz="0" w:space="0" w:color="auto"/>
              </w:divBdr>
              <w:divsChild>
                <w:div w:id="1793280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837158">
          <w:marLeft w:val="0"/>
          <w:marRight w:val="0"/>
          <w:marTop w:val="0"/>
          <w:marBottom w:val="0"/>
          <w:divBdr>
            <w:top w:val="none" w:sz="0" w:space="0" w:color="auto"/>
            <w:left w:val="none" w:sz="0" w:space="0" w:color="auto"/>
            <w:bottom w:val="none" w:sz="0" w:space="0" w:color="auto"/>
            <w:right w:val="none" w:sz="0" w:space="0" w:color="auto"/>
          </w:divBdr>
          <w:divsChild>
            <w:div w:id="10112611">
              <w:marLeft w:val="0"/>
              <w:marRight w:val="0"/>
              <w:marTop w:val="0"/>
              <w:marBottom w:val="0"/>
              <w:divBdr>
                <w:top w:val="none" w:sz="0" w:space="0" w:color="auto"/>
                <w:left w:val="none" w:sz="0" w:space="0" w:color="auto"/>
                <w:bottom w:val="none" w:sz="0" w:space="0" w:color="auto"/>
                <w:right w:val="none" w:sz="0" w:space="0" w:color="auto"/>
              </w:divBdr>
              <w:divsChild>
                <w:div w:id="359625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893145">
          <w:marLeft w:val="0"/>
          <w:marRight w:val="0"/>
          <w:marTop w:val="0"/>
          <w:marBottom w:val="0"/>
          <w:divBdr>
            <w:top w:val="none" w:sz="0" w:space="0" w:color="auto"/>
            <w:left w:val="none" w:sz="0" w:space="0" w:color="auto"/>
            <w:bottom w:val="none" w:sz="0" w:space="0" w:color="auto"/>
            <w:right w:val="none" w:sz="0" w:space="0" w:color="auto"/>
          </w:divBdr>
          <w:divsChild>
            <w:div w:id="719524862">
              <w:marLeft w:val="0"/>
              <w:marRight w:val="0"/>
              <w:marTop w:val="0"/>
              <w:marBottom w:val="0"/>
              <w:divBdr>
                <w:top w:val="none" w:sz="0" w:space="0" w:color="auto"/>
                <w:left w:val="none" w:sz="0" w:space="0" w:color="auto"/>
                <w:bottom w:val="none" w:sz="0" w:space="0" w:color="auto"/>
                <w:right w:val="none" w:sz="0" w:space="0" w:color="auto"/>
              </w:divBdr>
              <w:divsChild>
                <w:div w:id="1233539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193302">
          <w:marLeft w:val="0"/>
          <w:marRight w:val="0"/>
          <w:marTop w:val="0"/>
          <w:marBottom w:val="0"/>
          <w:divBdr>
            <w:top w:val="none" w:sz="0" w:space="0" w:color="auto"/>
            <w:left w:val="none" w:sz="0" w:space="0" w:color="auto"/>
            <w:bottom w:val="none" w:sz="0" w:space="0" w:color="auto"/>
            <w:right w:val="none" w:sz="0" w:space="0" w:color="auto"/>
          </w:divBdr>
          <w:divsChild>
            <w:div w:id="858006516">
              <w:marLeft w:val="0"/>
              <w:marRight w:val="0"/>
              <w:marTop w:val="0"/>
              <w:marBottom w:val="0"/>
              <w:divBdr>
                <w:top w:val="none" w:sz="0" w:space="0" w:color="auto"/>
                <w:left w:val="none" w:sz="0" w:space="0" w:color="auto"/>
                <w:bottom w:val="none" w:sz="0" w:space="0" w:color="auto"/>
                <w:right w:val="none" w:sz="0" w:space="0" w:color="auto"/>
              </w:divBdr>
              <w:divsChild>
                <w:div w:id="888688507">
                  <w:marLeft w:val="0"/>
                  <w:marRight w:val="0"/>
                  <w:marTop w:val="0"/>
                  <w:marBottom w:val="0"/>
                  <w:divBdr>
                    <w:top w:val="none" w:sz="0" w:space="0" w:color="auto"/>
                    <w:left w:val="none" w:sz="0" w:space="0" w:color="auto"/>
                    <w:bottom w:val="none" w:sz="0" w:space="0" w:color="auto"/>
                    <w:right w:val="none" w:sz="0" w:space="0" w:color="auto"/>
                  </w:divBdr>
                </w:div>
              </w:divsChild>
            </w:div>
            <w:div w:id="946543533">
              <w:marLeft w:val="0"/>
              <w:marRight w:val="0"/>
              <w:marTop w:val="0"/>
              <w:marBottom w:val="0"/>
              <w:divBdr>
                <w:top w:val="none" w:sz="0" w:space="0" w:color="auto"/>
                <w:left w:val="none" w:sz="0" w:space="0" w:color="auto"/>
                <w:bottom w:val="none" w:sz="0" w:space="0" w:color="auto"/>
                <w:right w:val="none" w:sz="0" w:space="0" w:color="auto"/>
              </w:divBdr>
              <w:divsChild>
                <w:div w:id="1726836098">
                  <w:marLeft w:val="0"/>
                  <w:marRight w:val="0"/>
                  <w:marTop w:val="0"/>
                  <w:marBottom w:val="0"/>
                  <w:divBdr>
                    <w:top w:val="none" w:sz="0" w:space="0" w:color="auto"/>
                    <w:left w:val="none" w:sz="0" w:space="0" w:color="auto"/>
                    <w:bottom w:val="none" w:sz="0" w:space="0" w:color="auto"/>
                    <w:right w:val="none" w:sz="0" w:space="0" w:color="auto"/>
                  </w:divBdr>
                </w:div>
              </w:divsChild>
            </w:div>
            <w:div w:id="1819034819">
              <w:marLeft w:val="0"/>
              <w:marRight w:val="0"/>
              <w:marTop w:val="0"/>
              <w:marBottom w:val="0"/>
              <w:divBdr>
                <w:top w:val="none" w:sz="0" w:space="0" w:color="auto"/>
                <w:left w:val="none" w:sz="0" w:space="0" w:color="auto"/>
                <w:bottom w:val="none" w:sz="0" w:space="0" w:color="auto"/>
                <w:right w:val="none" w:sz="0" w:space="0" w:color="auto"/>
              </w:divBdr>
              <w:divsChild>
                <w:div w:id="1203983786">
                  <w:marLeft w:val="0"/>
                  <w:marRight w:val="0"/>
                  <w:marTop w:val="0"/>
                  <w:marBottom w:val="0"/>
                  <w:divBdr>
                    <w:top w:val="none" w:sz="0" w:space="0" w:color="auto"/>
                    <w:left w:val="none" w:sz="0" w:space="0" w:color="auto"/>
                    <w:bottom w:val="none" w:sz="0" w:space="0" w:color="auto"/>
                    <w:right w:val="none" w:sz="0" w:space="0" w:color="auto"/>
                  </w:divBdr>
                </w:div>
              </w:divsChild>
            </w:div>
            <w:div w:id="2000768171">
              <w:marLeft w:val="0"/>
              <w:marRight w:val="0"/>
              <w:marTop w:val="0"/>
              <w:marBottom w:val="0"/>
              <w:divBdr>
                <w:top w:val="none" w:sz="0" w:space="0" w:color="auto"/>
                <w:left w:val="none" w:sz="0" w:space="0" w:color="auto"/>
                <w:bottom w:val="none" w:sz="0" w:space="0" w:color="auto"/>
                <w:right w:val="none" w:sz="0" w:space="0" w:color="auto"/>
              </w:divBdr>
              <w:divsChild>
                <w:div w:id="450126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8935702">
          <w:marLeft w:val="0"/>
          <w:marRight w:val="0"/>
          <w:marTop w:val="0"/>
          <w:marBottom w:val="0"/>
          <w:divBdr>
            <w:top w:val="none" w:sz="0" w:space="0" w:color="auto"/>
            <w:left w:val="none" w:sz="0" w:space="0" w:color="auto"/>
            <w:bottom w:val="none" w:sz="0" w:space="0" w:color="auto"/>
            <w:right w:val="none" w:sz="0" w:space="0" w:color="auto"/>
          </w:divBdr>
          <w:divsChild>
            <w:div w:id="1933737118">
              <w:marLeft w:val="0"/>
              <w:marRight w:val="0"/>
              <w:marTop w:val="0"/>
              <w:marBottom w:val="0"/>
              <w:divBdr>
                <w:top w:val="none" w:sz="0" w:space="0" w:color="auto"/>
                <w:left w:val="none" w:sz="0" w:space="0" w:color="auto"/>
                <w:bottom w:val="none" w:sz="0" w:space="0" w:color="auto"/>
                <w:right w:val="none" w:sz="0" w:space="0" w:color="auto"/>
              </w:divBdr>
              <w:divsChild>
                <w:div w:id="1535385199">
                  <w:marLeft w:val="0"/>
                  <w:marRight w:val="0"/>
                  <w:marTop w:val="0"/>
                  <w:marBottom w:val="0"/>
                  <w:divBdr>
                    <w:top w:val="none" w:sz="0" w:space="0" w:color="auto"/>
                    <w:left w:val="none" w:sz="0" w:space="0" w:color="auto"/>
                    <w:bottom w:val="none" w:sz="0" w:space="0" w:color="auto"/>
                    <w:right w:val="none" w:sz="0" w:space="0" w:color="auto"/>
                  </w:divBdr>
                </w:div>
                <w:div w:id="397948324">
                  <w:marLeft w:val="0"/>
                  <w:marRight w:val="0"/>
                  <w:marTop w:val="0"/>
                  <w:marBottom w:val="0"/>
                  <w:divBdr>
                    <w:top w:val="none" w:sz="0" w:space="0" w:color="auto"/>
                    <w:left w:val="none" w:sz="0" w:space="0" w:color="auto"/>
                    <w:bottom w:val="none" w:sz="0" w:space="0" w:color="auto"/>
                    <w:right w:val="none" w:sz="0" w:space="0" w:color="auto"/>
                  </w:divBdr>
                </w:div>
              </w:divsChild>
            </w:div>
            <w:div w:id="1738479329">
              <w:marLeft w:val="0"/>
              <w:marRight w:val="0"/>
              <w:marTop w:val="0"/>
              <w:marBottom w:val="0"/>
              <w:divBdr>
                <w:top w:val="none" w:sz="0" w:space="0" w:color="auto"/>
                <w:left w:val="none" w:sz="0" w:space="0" w:color="auto"/>
                <w:bottom w:val="none" w:sz="0" w:space="0" w:color="auto"/>
                <w:right w:val="none" w:sz="0" w:space="0" w:color="auto"/>
              </w:divBdr>
              <w:divsChild>
                <w:div w:id="1791364852">
                  <w:marLeft w:val="0"/>
                  <w:marRight w:val="0"/>
                  <w:marTop w:val="0"/>
                  <w:marBottom w:val="0"/>
                  <w:divBdr>
                    <w:top w:val="none" w:sz="0" w:space="0" w:color="auto"/>
                    <w:left w:val="none" w:sz="0" w:space="0" w:color="auto"/>
                    <w:bottom w:val="none" w:sz="0" w:space="0" w:color="auto"/>
                    <w:right w:val="none" w:sz="0" w:space="0" w:color="auto"/>
                  </w:divBdr>
                </w:div>
                <w:div w:id="1038895422">
                  <w:marLeft w:val="0"/>
                  <w:marRight w:val="0"/>
                  <w:marTop w:val="0"/>
                  <w:marBottom w:val="0"/>
                  <w:divBdr>
                    <w:top w:val="none" w:sz="0" w:space="0" w:color="auto"/>
                    <w:left w:val="none" w:sz="0" w:space="0" w:color="auto"/>
                    <w:bottom w:val="none" w:sz="0" w:space="0" w:color="auto"/>
                    <w:right w:val="none" w:sz="0" w:space="0" w:color="auto"/>
                  </w:divBdr>
                </w:div>
              </w:divsChild>
            </w:div>
            <w:div w:id="1933777228">
              <w:marLeft w:val="0"/>
              <w:marRight w:val="0"/>
              <w:marTop w:val="0"/>
              <w:marBottom w:val="0"/>
              <w:divBdr>
                <w:top w:val="none" w:sz="0" w:space="0" w:color="auto"/>
                <w:left w:val="none" w:sz="0" w:space="0" w:color="auto"/>
                <w:bottom w:val="none" w:sz="0" w:space="0" w:color="auto"/>
                <w:right w:val="none" w:sz="0" w:space="0" w:color="auto"/>
              </w:divBdr>
              <w:divsChild>
                <w:div w:id="1334722110">
                  <w:marLeft w:val="0"/>
                  <w:marRight w:val="0"/>
                  <w:marTop w:val="0"/>
                  <w:marBottom w:val="0"/>
                  <w:divBdr>
                    <w:top w:val="none" w:sz="0" w:space="0" w:color="auto"/>
                    <w:left w:val="none" w:sz="0" w:space="0" w:color="auto"/>
                    <w:bottom w:val="none" w:sz="0" w:space="0" w:color="auto"/>
                    <w:right w:val="none" w:sz="0" w:space="0" w:color="auto"/>
                  </w:divBdr>
                </w:div>
              </w:divsChild>
            </w:div>
            <w:div w:id="1187061403">
              <w:marLeft w:val="0"/>
              <w:marRight w:val="0"/>
              <w:marTop w:val="0"/>
              <w:marBottom w:val="0"/>
              <w:divBdr>
                <w:top w:val="none" w:sz="0" w:space="0" w:color="auto"/>
                <w:left w:val="none" w:sz="0" w:space="0" w:color="auto"/>
                <w:bottom w:val="none" w:sz="0" w:space="0" w:color="auto"/>
                <w:right w:val="none" w:sz="0" w:space="0" w:color="auto"/>
              </w:divBdr>
              <w:divsChild>
                <w:div w:id="61952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869759">
          <w:marLeft w:val="0"/>
          <w:marRight w:val="0"/>
          <w:marTop w:val="0"/>
          <w:marBottom w:val="0"/>
          <w:divBdr>
            <w:top w:val="none" w:sz="0" w:space="0" w:color="auto"/>
            <w:left w:val="none" w:sz="0" w:space="0" w:color="auto"/>
            <w:bottom w:val="none" w:sz="0" w:space="0" w:color="auto"/>
            <w:right w:val="none" w:sz="0" w:space="0" w:color="auto"/>
          </w:divBdr>
          <w:divsChild>
            <w:div w:id="1951819672">
              <w:marLeft w:val="0"/>
              <w:marRight w:val="0"/>
              <w:marTop w:val="0"/>
              <w:marBottom w:val="0"/>
              <w:divBdr>
                <w:top w:val="none" w:sz="0" w:space="0" w:color="auto"/>
                <w:left w:val="none" w:sz="0" w:space="0" w:color="auto"/>
                <w:bottom w:val="none" w:sz="0" w:space="0" w:color="auto"/>
                <w:right w:val="none" w:sz="0" w:space="0" w:color="auto"/>
              </w:divBdr>
              <w:divsChild>
                <w:div w:id="89623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6520976">
          <w:marLeft w:val="0"/>
          <w:marRight w:val="0"/>
          <w:marTop w:val="0"/>
          <w:marBottom w:val="0"/>
          <w:divBdr>
            <w:top w:val="none" w:sz="0" w:space="0" w:color="auto"/>
            <w:left w:val="none" w:sz="0" w:space="0" w:color="auto"/>
            <w:bottom w:val="none" w:sz="0" w:space="0" w:color="auto"/>
            <w:right w:val="none" w:sz="0" w:space="0" w:color="auto"/>
          </w:divBdr>
          <w:divsChild>
            <w:div w:id="1291211193">
              <w:marLeft w:val="0"/>
              <w:marRight w:val="0"/>
              <w:marTop w:val="0"/>
              <w:marBottom w:val="0"/>
              <w:divBdr>
                <w:top w:val="none" w:sz="0" w:space="0" w:color="auto"/>
                <w:left w:val="none" w:sz="0" w:space="0" w:color="auto"/>
                <w:bottom w:val="none" w:sz="0" w:space="0" w:color="auto"/>
                <w:right w:val="none" w:sz="0" w:space="0" w:color="auto"/>
              </w:divBdr>
              <w:divsChild>
                <w:div w:id="1739982470">
                  <w:marLeft w:val="0"/>
                  <w:marRight w:val="0"/>
                  <w:marTop w:val="0"/>
                  <w:marBottom w:val="0"/>
                  <w:divBdr>
                    <w:top w:val="none" w:sz="0" w:space="0" w:color="auto"/>
                    <w:left w:val="none" w:sz="0" w:space="0" w:color="auto"/>
                    <w:bottom w:val="none" w:sz="0" w:space="0" w:color="auto"/>
                    <w:right w:val="none" w:sz="0" w:space="0" w:color="auto"/>
                  </w:divBdr>
                </w:div>
              </w:divsChild>
            </w:div>
            <w:div w:id="993724467">
              <w:marLeft w:val="0"/>
              <w:marRight w:val="0"/>
              <w:marTop w:val="0"/>
              <w:marBottom w:val="0"/>
              <w:divBdr>
                <w:top w:val="none" w:sz="0" w:space="0" w:color="auto"/>
                <w:left w:val="none" w:sz="0" w:space="0" w:color="auto"/>
                <w:bottom w:val="none" w:sz="0" w:space="0" w:color="auto"/>
                <w:right w:val="none" w:sz="0" w:space="0" w:color="auto"/>
              </w:divBdr>
              <w:divsChild>
                <w:div w:id="1450397414">
                  <w:marLeft w:val="0"/>
                  <w:marRight w:val="0"/>
                  <w:marTop w:val="0"/>
                  <w:marBottom w:val="0"/>
                  <w:divBdr>
                    <w:top w:val="none" w:sz="0" w:space="0" w:color="auto"/>
                    <w:left w:val="none" w:sz="0" w:space="0" w:color="auto"/>
                    <w:bottom w:val="none" w:sz="0" w:space="0" w:color="auto"/>
                    <w:right w:val="none" w:sz="0" w:space="0" w:color="auto"/>
                  </w:divBdr>
                </w:div>
                <w:div w:id="1900163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0484">
          <w:marLeft w:val="0"/>
          <w:marRight w:val="0"/>
          <w:marTop w:val="0"/>
          <w:marBottom w:val="0"/>
          <w:divBdr>
            <w:top w:val="none" w:sz="0" w:space="0" w:color="auto"/>
            <w:left w:val="none" w:sz="0" w:space="0" w:color="auto"/>
            <w:bottom w:val="none" w:sz="0" w:space="0" w:color="auto"/>
            <w:right w:val="none" w:sz="0" w:space="0" w:color="auto"/>
          </w:divBdr>
          <w:divsChild>
            <w:div w:id="1675381060">
              <w:marLeft w:val="0"/>
              <w:marRight w:val="0"/>
              <w:marTop w:val="0"/>
              <w:marBottom w:val="0"/>
              <w:divBdr>
                <w:top w:val="none" w:sz="0" w:space="0" w:color="auto"/>
                <w:left w:val="none" w:sz="0" w:space="0" w:color="auto"/>
                <w:bottom w:val="none" w:sz="0" w:space="0" w:color="auto"/>
                <w:right w:val="none" w:sz="0" w:space="0" w:color="auto"/>
              </w:divBdr>
              <w:divsChild>
                <w:div w:id="602303959">
                  <w:marLeft w:val="0"/>
                  <w:marRight w:val="0"/>
                  <w:marTop w:val="0"/>
                  <w:marBottom w:val="0"/>
                  <w:divBdr>
                    <w:top w:val="none" w:sz="0" w:space="0" w:color="auto"/>
                    <w:left w:val="none" w:sz="0" w:space="0" w:color="auto"/>
                    <w:bottom w:val="none" w:sz="0" w:space="0" w:color="auto"/>
                    <w:right w:val="none" w:sz="0" w:space="0" w:color="auto"/>
                  </w:divBdr>
                </w:div>
                <w:div w:id="178769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31308">
          <w:marLeft w:val="0"/>
          <w:marRight w:val="0"/>
          <w:marTop w:val="0"/>
          <w:marBottom w:val="0"/>
          <w:divBdr>
            <w:top w:val="none" w:sz="0" w:space="0" w:color="auto"/>
            <w:left w:val="none" w:sz="0" w:space="0" w:color="auto"/>
            <w:bottom w:val="none" w:sz="0" w:space="0" w:color="auto"/>
            <w:right w:val="none" w:sz="0" w:space="0" w:color="auto"/>
          </w:divBdr>
          <w:divsChild>
            <w:div w:id="765003821">
              <w:marLeft w:val="0"/>
              <w:marRight w:val="0"/>
              <w:marTop w:val="0"/>
              <w:marBottom w:val="0"/>
              <w:divBdr>
                <w:top w:val="none" w:sz="0" w:space="0" w:color="auto"/>
                <w:left w:val="none" w:sz="0" w:space="0" w:color="auto"/>
                <w:bottom w:val="none" w:sz="0" w:space="0" w:color="auto"/>
                <w:right w:val="none" w:sz="0" w:space="0" w:color="auto"/>
              </w:divBdr>
              <w:divsChild>
                <w:div w:id="364987012">
                  <w:marLeft w:val="0"/>
                  <w:marRight w:val="0"/>
                  <w:marTop w:val="0"/>
                  <w:marBottom w:val="0"/>
                  <w:divBdr>
                    <w:top w:val="none" w:sz="0" w:space="0" w:color="auto"/>
                    <w:left w:val="none" w:sz="0" w:space="0" w:color="auto"/>
                    <w:bottom w:val="none" w:sz="0" w:space="0" w:color="auto"/>
                    <w:right w:val="none" w:sz="0" w:space="0" w:color="auto"/>
                  </w:divBdr>
                </w:div>
                <w:div w:id="1417630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4553128">
          <w:marLeft w:val="0"/>
          <w:marRight w:val="0"/>
          <w:marTop w:val="0"/>
          <w:marBottom w:val="0"/>
          <w:divBdr>
            <w:top w:val="none" w:sz="0" w:space="0" w:color="auto"/>
            <w:left w:val="none" w:sz="0" w:space="0" w:color="auto"/>
            <w:bottom w:val="none" w:sz="0" w:space="0" w:color="auto"/>
            <w:right w:val="none" w:sz="0" w:space="0" w:color="auto"/>
          </w:divBdr>
          <w:divsChild>
            <w:div w:id="1449156178">
              <w:marLeft w:val="0"/>
              <w:marRight w:val="0"/>
              <w:marTop w:val="0"/>
              <w:marBottom w:val="0"/>
              <w:divBdr>
                <w:top w:val="none" w:sz="0" w:space="0" w:color="auto"/>
                <w:left w:val="none" w:sz="0" w:space="0" w:color="auto"/>
                <w:bottom w:val="none" w:sz="0" w:space="0" w:color="auto"/>
                <w:right w:val="none" w:sz="0" w:space="0" w:color="auto"/>
              </w:divBdr>
              <w:divsChild>
                <w:div w:id="1940722263">
                  <w:marLeft w:val="0"/>
                  <w:marRight w:val="0"/>
                  <w:marTop w:val="0"/>
                  <w:marBottom w:val="0"/>
                  <w:divBdr>
                    <w:top w:val="none" w:sz="0" w:space="0" w:color="auto"/>
                    <w:left w:val="none" w:sz="0" w:space="0" w:color="auto"/>
                    <w:bottom w:val="none" w:sz="0" w:space="0" w:color="auto"/>
                    <w:right w:val="none" w:sz="0" w:space="0" w:color="auto"/>
                  </w:divBdr>
                </w:div>
                <w:div w:id="662120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143986">
          <w:marLeft w:val="0"/>
          <w:marRight w:val="0"/>
          <w:marTop w:val="0"/>
          <w:marBottom w:val="0"/>
          <w:divBdr>
            <w:top w:val="none" w:sz="0" w:space="0" w:color="auto"/>
            <w:left w:val="none" w:sz="0" w:space="0" w:color="auto"/>
            <w:bottom w:val="none" w:sz="0" w:space="0" w:color="auto"/>
            <w:right w:val="none" w:sz="0" w:space="0" w:color="auto"/>
          </w:divBdr>
          <w:divsChild>
            <w:div w:id="1699891691">
              <w:marLeft w:val="0"/>
              <w:marRight w:val="0"/>
              <w:marTop w:val="0"/>
              <w:marBottom w:val="0"/>
              <w:divBdr>
                <w:top w:val="none" w:sz="0" w:space="0" w:color="auto"/>
                <w:left w:val="none" w:sz="0" w:space="0" w:color="auto"/>
                <w:bottom w:val="none" w:sz="0" w:space="0" w:color="auto"/>
                <w:right w:val="none" w:sz="0" w:space="0" w:color="auto"/>
              </w:divBdr>
              <w:divsChild>
                <w:div w:id="1108692867">
                  <w:marLeft w:val="0"/>
                  <w:marRight w:val="0"/>
                  <w:marTop w:val="0"/>
                  <w:marBottom w:val="0"/>
                  <w:divBdr>
                    <w:top w:val="none" w:sz="0" w:space="0" w:color="auto"/>
                    <w:left w:val="none" w:sz="0" w:space="0" w:color="auto"/>
                    <w:bottom w:val="none" w:sz="0" w:space="0" w:color="auto"/>
                    <w:right w:val="none" w:sz="0" w:space="0" w:color="auto"/>
                  </w:divBdr>
                </w:div>
                <w:div w:id="2028364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626839">
      <w:bodyDiv w:val="1"/>
      <w:marLeft w:val="0"/>
      <w:marRight w:val="0"/>
      <w:marTop w:val="0"/>
      <w:marBottom w:val="0"/>
      <w:divBdr>
        <w:top w:val="none" w:sz="0" w:space="0" w:color="auto"/>
        <w:left w:val="none" w:sz="0" w:space="0" w:color="auto"/>
        <w:bottom w:val="none" w:sz="0" w:space="0" w:color="auto"/>
        <w:right w:val="none" w:sz="0" w:space="0" w:color="auto"/>
      </w:divBdr>
      <w:divsChild>
        <w:div w:id="1008093739">
          <w:marLeft w:val="0"/>
          <w:marRight w:val="0"/>
          <w:marTop w:val="0"/>
          <w:marBottom w:val="0"/>
          <w:divBdr>
            <w:top w:val="none" w:sz="0" w:space="0" w:color="auto"/>
            <w:left w:val="none" w:sz="0" w:space="0" w:color="auto"/>
            <w:bottom w:val="none" w:sz="0" w:space="0" w:color="auto"/>
            <w:right w:val="none" w:sz="0" w:space="0" w:color="auto"/>
          </w:divBdr>
          <w:divsChild>
            <w:div w:id="47845492">
              <w:marLeft w:val="0"/>
              <w:marRight w:val="0"/>
              <w:marTop w:val="0"/>
              <w:marBottom w:val="0"/>
              <w:divBdr>
                <w:top w:val="none" w:sz="0" w:space="0" w:color="auto"/>
                <w:left w:val="none" w:sz="0" w:space="0" w:color="auto"/>
                <w:bottom w:val="none" w:sz="0" w:space="0" w:color="auto"/>
                <w:right w:val="none" w:sz="0" w:space="0" w:color="auto"/>
              </w:divBdr>
              <w:divsChild>
                <w:div w:id="1979651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258882">
          <w:marLeft w:val="0"/>
          <w:marRight w:val="0"/>
          <w:marTop w:val="0"/>
          <w:marBottom w:val="0"/>
          <w:divBdr>
            <w:top w:val="none" w:sz="0" w:space="0" w:color="auto"/>
            <w:left w:val="none" w:sz="0" w:space="0" w:color="auto"/>
            <w:bottom w:val="none" w:sz="0" w:space="0" w:color="auto"/>
            <w:right w:val="none" w:sz="0" w:space="0" w:color="auto"/>
          </w:divBdr>
          <w:divsChild>
            <w:div w:id="1581062163">
              <w:marLeft w:val="0"/>
              <w:marRight w:val="0"/>
              <w:marTop w:val="0"/>
              <w:marBottom w:val="0"/>
              <w:divBdr>
                <w:top w:val="none" w:sz="0" w:space="0" w:color="auto"/>
                <w:left w:val="none" w:sz="0" w:space="0" w:color="auto"/>
                <w:bottom w:val="none" w:sz="0" w:space="0" w:color="auto"/>
                <w:right w:val="none" w:sz="0" w:space="0" w:color="auto"/>
              </w:divBdr>
              <w:divsChild>
                <w:div w:id="2047093590">
                  <w:marLeft w:val="0"/>
                  <w:marRight w:val="0"/>
                  <w:marTop w:val="0"/>
                  <w:marBottom w:val="0"/>
                  <w:divBdr>
                    <w:top w:val="none" w:sz="0" w:space="0" w:color="auto"/>
                    <w:left w:val="none" w:sz="0" w:space="0" w:color="auto"/>
                    <w:bottom w:val="none" w:sz="0" w:space="0" w:color="auto"/>
                    <w:right w:val="none" w:sz="0" w:space="0" w:color="auto"/>
                  </w:divBdr>
                </w:div>
                <w:div w:id="517427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27057">
          <w:marLeft w:val="0"/>
          <w:marRight w:val="0"/>
          <w:marTop w:val="0"/>
          <w:marBottom w:val="0"/>
          <w:divBdr>
            <w:top w:val="none" w:sz="0" w:space="0" w:color="auto"/>
            <w:left w:val="none" w:sz="0" w:space="0" w:color="auto"/>
            <w:bottom w:val="none" w:sz="0" w:space="0" w:color="auto"/>
            <w:right w:val="none" w:sz="0" w:space="0" w:color="auto"/>
          </w:divBdr>
          <w:divsChild>
            <w:div w:id="548733809">
              <w:marLeft w:val="0"/>
              <w:marRight w:val="0"/>
              <w:marTop w:val="0"/>
              <w:marBottom w:val="0"/>
              <w:divBdr>
                <w:top w:val="none" w:sz="0" w:space="0" w:color="auto"/>
                <w:left w:val="none" w:sz="0" w:space="0" w:color="auto"/>
                <w:bottom w:val="none" w:sz="0" w:space="0" w:color="auto"/>
                <w:right w:val="none" w:sz="0" w:space="0" w:color="auto"/>
              </w:divBdr>
              <w:divsChild>
                <w:div w:id="379942479">
                  <w:marLeft w:val="0"/>
                  <w:marRight w:val="0"/>
                  <w:marTop w:val="0"/>
                  <w:marBottom w:val="0"/>
                  <w:divBdr>
                    <w:top w:val="none" w:sz="0" w:space="0" w:color="auto"/>
                    <w:left w:val="none" w:sz="0" w:space="0" w:color="auto"/>
                    <w:bottom w:val="none" w:sz="0" w:space="0" w:color="auto"/>
                    <w:right w:val="none" w:sz="0" w:space="0" w:color="auto"/>
                  </w:divBdr>
                </w:div>
                <w:div w:id="1781145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604458">
          <w:marLeft w:val="0"/>
          <w:marRight w:val="0"/>
          <w:marTop w:val="0"/>
          <w:marBottom w:val="0"/>
          <w:divBdr>
            <w:top w:val="none" w:sz="0" w:space="0" w:color="auto"/>
            <w:left w:val="none" w:sz="0" w:space="0" w:color="auto"/>
            <w:bottom w:val="none" w:sz="0" w:space="0" w:color="auto"/>
            <w:right w:val="none" w:sz="0" w:space="0" w:color="auto"/>
          </w:divBdr>
          <w:divsChild>
            <w:div w:id="1647197190">
              <w:marLeft w:val="0"/>
              <w:marRight w:val="0"/>
              <w:marTop w:val="0"/>
              <w:marBottom w:val="0"/>
              <w:divBdr>
                <w:top w:val="none" w:sz="0" w:space="0" w:color="auto"/>
                <w:left w:val="none" w:sz="0" w:space="0" w:color="auto"/>
                <w:bottom w:val="none" w:sz="0" w:space="0" w:color="auto"/>
                <w:right w:val="none" w:sz="0" w:space="0" w:color="auto"/>
              </w:divBdr>
              <w:divsChild>
                <w:div w:id="1918244643">
                  <w:marLeft w:val="0"/>
                  <w:marRight w:val="0"/>
                  <w:marTop w:val="0"/>
                  <w:marBottom w:val="0"/>
                  <w:divBdr>
                    <w:top w:val="none" w:sz="0" w:space="0" w:color="auto"/>
                    <w:left w:val="none" w:sz="0" w:space="0" w:color="auto"/>
                    <w:bottom w:val="none" w:sz="0" w:space="0" w:color="auto"/>
                    <w:right w:val="none" w:sz="0" w:space="0" w:color="auto"/>
                  </w:divBdr>
                </w:div>
                <w:div w:id="639073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400968">
          <w:marLeft w:val="0"/>
          <w:marRight w:val="0"/>
          <w:marTop w:val="0"/>
          <w:marBottom w:val="0"/>
          <w:divBdr>
            <w:top w:val="none" w:sz="0" w:space="0" w:color="auto"/>
            <w:left w:val="none" w:sz="0" w:space="0" w:color="auto"/>
            <w:bottom w:val="none" w:sz="0" w:space="0" w:color="auto"/>
            <w:right w:val="none" w:sz="0" w:space="0" w:color="auto"/>
          </w:divBdr>
          <w:divsChild>
            <w:div w:id="2044669849">
              <w:marLeft w:val="0"/>
              <w:marRight w:val="0"/>
              <w:marTop w:val="0"/>
              <w:marBottom w:val="0"/>
              <w:divBdr>
                <w:top w:val="none" w:sz="0" w:space="0" w:color="auto"/>
                <w:left w:val="none" w:sz="0" w:space="0" w:color="auto"/>
                <w:bottom w:val="none" w:sz="0" w:space="0" w:color="auto"/>
                <w:right w:val="none" w:sz="0" w:space="0" w:color="auto"/>
              </w:divBdr>
              <w:divsChild>
                <w:div w:id="53816716">
                  <w:marLeft w:val="0"/>
                  <w:marRight w:val="0"/>
                  <w:marTop w:val="0"/>
                  <w:marBottom w:val="0"/>
                  <w:divBdr>
                    <w:top w:val="none" w:sz="0" w:space="0" w:color="auto"/>
                    <w:left w:val="none" w:sz="0" w:space="0" w:color="auto"/>
                    <w:bottom w:val="none" w:sz="0" w:space="0" w:color="auto"/>
                    <w:right w:val="none" w:sz="0" w:space="0" w:color="auto"/>
                  </w:divBdr>
                </w:div>
                <w:div w:id="1751539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675329">
      <w:bodyDiv w:val="1"/>
      <w:marLeft w:val="0"/>
      <w:marRight w:val="0"/>
      <w:marTop w:val="0"/>
      <w:marBottom w:val="0"/>
      <w:divBdr>
        <w:top w:val="none" w:sz="0" w:space="0" w:color="auto"/>
        <w:left w:val="none" w:sz="0" w:space="0" w:color="auto"/>
        <w:bottom w:val="none" w:sz="0" w:space="0" w:color="auto"/>
        <w:right w:val="none" w:sz="0" w:space="0" w:color="auto"/>
      </w:divBdr>
      <w:divsChild>
        <w:div w:id="57633198">
          <w:marLeft w:val="0"/>
          <w:marRight w:val="0"/>
          <w:marTop w:val="0"/>
          <w:marBottom w:val="0"/>
          <w:divBdr>
            <w:top w:val="none" w:sz="0" w:space="0" w:color="auto"/>
            <w:left w:val="none" w:sz="0" w:space="0" w:color="auto"/>
            <w:bottom w:val="none" w:sz="0" w:space="0" w:color="auto"/>
            <w:right w:val="none" w:sz="0" w:space="0" w:color="auto"/>
          </w:divBdr>
          <w:divsChild>
            <w:div w:id="2023319095">
              <w:marLeft w:val="0"/>
              <w:marRight w:val="0"/>
              <w:marTop w:val="0"/>
              <w:marBottom w:val="0"/>
              <w:divBdr>
                <w:top w:val="none" w:sz="0" w:space="0" w:color="auto"/>
                <w:left w:val="none" w:sz="0" w:space="0" w:color="auto"/>
                <w:bottom w:val="none" w:sz="0" w:space="0" w:color="auto"/>
                <w:right w:val="none" w:sz="0" w:space="0" w:color="auto"/>
              </w:divBdr>
              <w:divsChild>
                <w:div w:id="232591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4722565">
          <w:marLeft w:val="0"/>
          <w:marRight w:val="0"/>
          <w:marTop w:val="0"/>
          <w:marBottom w:val="0"/>
          <w:divBdr>
            <w:top w:val="none" w:sz="0" w:space="0" w:color="auto"/>
            <w:left w:val="none" w:sz="0" w:space="0" w:color="auto"/>
            <w:bottom w:val="none" w:sz="0" w:space="0" w:color="auto"/>
            <w:right w:val="none" w:sz="0" w:space="0" w:color="auto"/>
          </w:divBdr>
          <w:divsChild>
            <w:div w:id="1336610777">
              <w:marLeft w:val="0"/>
              <w:marRight w:val="0"/>
              <w:marTop w:val="0"/>
              <w:marBottom w:val="0"/>
              <w:divBdr>
                <w:top w:val="none" w:sz="0" w:space="0" w:color="auto"/>
                <w:left w:val="none" w:sz="0" w:space="0" w:color="auto"/>
                <w:bottom w:val="none" w:sz="0" w:space="0" w:color="auto"/>
                <w:right w:val="none" w:sz="0" w:space="0" w:color="auto"/>
              </w:divBdr>
              <w:divsChild>
                <w:div w:id="1681544620">
                  <w:marLeft w:val="0"/>
                  <w:marRight w:val="0"/>
                  <w:marTop w:val="0"/>
                  <w:marBottom w:val="0"/>
                  <w:divBdr>
                    <w:top w:val="none" w:sz="0" w:space="0" w:color="auto"/>
                    <w:left w:val="none" w:sz="0" w:space="0" w:color="auto"/>
                    <w:bottom w:val="none" w:sz="0" w:space="0" w:color="auto"/>
                    <w:right w:val="none" w:sz="0" w:space="0" w:color="auto"/>
                  </w:divBdr>
                </w:div>
                <w:div w:id="140961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9457781">
          <w:marLeft w:val="0"/>
          <w:marRight w:val="0"/>
          <w:marTop w:val="0"/>
          <w:marBottom w:val="0"/>
          <w:divBdr>
            <w:top w:val="none" w:sz="0" w:space="0" w:color="auto"/>
            <w:left w:val="none" w:sz="0" w:space="0" w:color="auto"/>
            <w:bottom w:val="none" w:sz="0" w:space="0" w:color="auto"/>
            <w:right w:val="none" w:sz="0" w:space="0" w:color="auto"/>
          </w:divBdr>
          <w:divsChild>
            <w:div w:id="1324970479">
              <w:marLeft w:val="0"/>
              <w:marRight w:val="0"/>
              <w:marTop w:val="0"/>
              <w:marBottom w:val="0"/>
              <w:divBdr>
                <w:top w:val="none" w:sz="0" w:space="0" w:color="auto"/>
                <w:left w:val="none" w:sz="0" w:space="0" w:color="auto"/>
                <w:bottom w:val="none" w:sz="0" w:space="0" w:color="auto"/>
                <w:right w:val="none" w:sz="0" w:space="0" w:color="auto"/>
              </w:divBdr>
              <w:divsChild>
                <w:div w:id="1628853238">
                  <w:marLeft w:val="0"/>
                  <w:marRight w:val="0"/>
                  <w:marTop w:val="0"/>
                  <w:marBottom w:val="0"/>
                  <w:divBdr>
                    <w:top w:val="none" w:sz="0" w:space="0" w:color="auto"/>
                    <w:left w:val="none" w:sz="0" w:space="0" w:color="auto"/>
                    <w:bottom w:val="none" w:sz="0" w:space="0" w:color="auto"/>
                    <w:right w:val="none" w:sz="0" w:space="0" w:color="auto"/>
                  </w:divBdr>
                </w:div>
                <w:div w:id="34795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989177">
          <w:marLeft w:val="0"/>
          <w:marRight w:val="0"/>
          <w:marTop w:val="0"/>
          <w:marBottom w:val="0"/>
          <w:divBdr>
            <w:top w:val="none" w:sz="0" w:space="0" w:color="auto"/>
            <w:left w:val="none" w:sz="0" w:space="0" w:color="auto"/>
            <w:bottom w:val="none" w:sz="0" w:space="0" w:color="auto"/>
            <w:right w:val="none" w:sz="0" w:space="0" w:color="auto"/>
          </w:divBdr>
          <w:divsChild>
            <w:div w:id="239339352">
              <w:marLeft w:val="0"/>
              <w:marRight w:val="0"/>
              <w:marTop w:val="0"/>
              <w:marBottom w:val="0"/>
              <w:divBdr>
                <w:top w:val="none" w:sz="0" w:space="0" w:color="auto"/>
                <w:left w:val="none" w:sz="0" w:space="0" w:color="auto"/>
                <w:bottom w:val="none" w:sz="0" w:space="0" w:color="auto"/>
                <w:right w:val="none" w:sz="0" w:space="0" w:color="auto"/>
              </w:divBdr>
              <w:divsChild>
                <w:div w:id="2015841734">
                  <w:marLeft w:val="0"/>
                  <w:marRight w:val="0"/>
                  <w:marTop w:val="0"/>
                  <w:marBottom w:val="0"/>
                  <w:divBdr>
                    <w:top w:val="none" w:sz="0" w:space="0" w:color="auto"/>
                    <w:left w:val="none" w:sz="0" w:space="0" w:color="auto"/>
                    <w:bottom w:val="none" w:sz="0" w:space="0" w:color="auto"/>
                    <w:right w:val="none" w:sz="0" w:space="0" w:color="auto"/>
                  </w:divBdr>
                </w:div>
                <w:div w:id="145293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175382">
          <w:marLeft w:val="0"/>
          <w:marRight w:val="0"/>
          <w:marTop w:val="0"/>
          <w:marBottom w:val="0"/>
          <w:divBdr>
            <w:top w:val="none" w:sz="0" w:space="0" w:color="auto"/>
            <w:left w:val="none" w:sz="0" w:space="0" w:color="auto"/>
            <w:bottom w:val="none" w:sz="0" w:space="0" w:color="auto"/>
            <w:right w:val="none" w:sz="0" w:space="0" w:color="auto"/>
          </w:divBdr>
          <w:divsChild>
            <w:div w:id="886532965">
              <w:marLeft w:val="0"/>
              <w:marRight w:val="0"/>
              <w:marTop w:val="0"/>
              <w:marBottom w:val="0"/>
              <w:divBdr>
                <w:top w:val="none" w:sz="0" w:space="0" w:color="auto"/>
                <w:left w:val="none" w:sz="0" w:space="0" w:color="auto"/>
                <w:bottom w:val="none" w:sz="0" w:space="0" w:color="auto"/>
                <w:right w:val="none" w:sz="0" w:space="0" w:color="auto"/>
              </w:divBdr>
              <w:divsChild>
                <w:div w:id="1299411006">
                  <w:marLeft w:val="0"/>
                  <w:marRight w:val="0"/>
                  <w:marTop w:val="0"/>
                  <w:marBottom w:val="0"/>
                  <w:divBdr>
                    <w:top w:val="none" w:sz="0" w:space="0" w:color="auto"/>
                    <w:left w:val="none" w:sz="0" w:space="0" w:color="auto"/>
                    <w:bottom w:val="none" w:sz="0" w:space="0" w:color="auto"/>
                    <w:right w:val="none" w:sz="0" w:space="0" w:color="auto"/>
                  </w:divBdr>
                </w:div>
                <w:div w:id="32107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86659">
      <w:bodyDiv w:val="1"/>
      <w:marLeft w:val="0"/>
      <w:marRight w:val="0"/>
      <w:marTop w:val="0"/>
      <w:marBottom w:val="0"/>
      <w:divBdr>
        <w:top w:val="none" w:sz="0" w:space="0" w:color="auto"/>
        <w:left w:val="none" w:sz="0" w:space="0" w:color="auto"/>
        <w:bottom w:val="none" w:sz="0" w:space="0" w:color="auto"/>
        <w:right w:val="none" w:sz="0" w:space="0" w:color="auto"/>
      </w:divBdr>
      <w:divsChild>
        <w:div w:id="1493712311">
          <w:marLeft w:val="0"/>
          <w:marRight w:val="0"/>
          <w:marTop w:val="0"/>
          <w:marBottom w:val="0"/>
          <w:divBdr>
            <w:top w:val="none" w:sz="0" w:space="0" w:color="auto"/>
            <w:left w:val="none" w:sz="0" w:space="0" w:color="auto"/>
            <w:bottom w:val="none" w:sz="0" w:space="0" w:color="auto"/>
            <w:right w:val="none" w:sz="0" w:space="0" w:color="auto"/>
          </w:divBdr>
          <w:divsChild>
            <w:div w:id="166480089">
              <w:marLeft w:val="0"/>
              <w:marRight w:val="0"/>
              <w:marTop w:val="0"/>
              <w:marBottom w:val="0"/>
              <w:divBdr>
                <w:top w:val="none" w:sz="0" w:space="0" w:color="auto"/>
                <w:left w:val="none" w:sz="0" w:space="0" w:color="auto"/>
                <w:bottom w:val="none" w:sz="0" w:space="0" w:color="auto"/>
                <w:right w:val="none" w:sz="0" w:space="0" w:color="auto"/>
              </w:divBdr>
              <w:divsChild>
                <w:div w:id="1866138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0735016">
          <w:marLeft w:val="0"/>
          <w:marRight w:val="0"/>
          <w:marTop w:val="0"/>
          <w:marBottom w:val="0"/>
          <w:divBdr>
            <w:top w:val="none" w:sz="0" w:space="0" w:color="auto"/>
            <w:left w:val="none" w:sz="0" w:space="0" w:color="auto"/>
            <w:bottom w:val="none" w:sz="0" w:space="0" w:color="auto"/>
            <w:right w:val="none" w:sz="0" w:space="0" w:color="auto"/>
          </w:divBdr>
          <w:divsChild>
            <w:div w:id="1771582200">
              <w:marLeft w:val="0"/>
              <w:marRight w:val="0"/>
              <w:marTop w:val="0"/>
              <w:marBottom w:val="0"/>
              <w:divBdr>
                <w:top w:val="none" w:sz="0" w:space="0" w:color="auto"/>
                <w:left w:val="none" w:sz="0" w:space="0" w:color="auto"/>
                <w:bottom w:val="none" w:sz="0" w:space="0" w:color="auto"/>
                <w:right w:val="none" w:sz="0" w:space="0" w:color="auto"/>
              </w:divBdr>
              <w:divsChild>
                <w:div w:id="1000542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467101">
          <w:marLeft w:val="0"/>
          <w:marRight w:val="0"/>
          <w:marTop w:val="0"/>
          <w:marBottom w:val="0"/>
          <w:divBdr>
            <w:top w:val="none" w:sz="0" w:space="0" w:color="auto"/>
            <w:left w:val="none" w:sz="0" w:space="0" w:color="auto"/>
            <w:bottom w:val="none" w:sz="0" w:space="0" w:color="auto"/>
            <w:right w:val="none" w:sz="0" w:space="0" w:color="auto"/>
          </w:divBdr>
          <w:divsChild>
            <w:div w:id="1249268634">
              <w:marLeft w:val="0"/>
              <w:marRight w:val="0"/>
              <w:marTop w:val="0"/>
              <w:marBottom w:val="0"/>
              <w:divBdr>
                <w:top w:val="none" w:sz="0" w:space="0" w:color="auto"/>
                <w:left w:val="none" w:sz="0" w:space="0" w:color="auto"/>
                <w:bottom w:val="none" w:sz="0" w:space="0" w:color="auto"/>
                <w:right w:val="none" w:sz="0" w:space="0" w:color="auto"/>
              </w:divBdr>
              <w:divsChild>
                <w:div w:id="1321227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49717">
          <w:marLeft w:val="0"/>
          <w:marRight w:val="0"/>
          <w:marTop w:val="0"/>
          <w:marBottom w:val="0"/>
          <w:divBdr>
            <w:top w:val="none" w:sz="0" w:space="0" w:color="auto"/>
            <w:left w:val="none" w:sz="0" w:space="0" w:color="auto"/>
            <w:bottom w:val="none" w:sz="0" w:space="0" w:color="auto"/>
            <w:right w:val="none" w:sz="0" w:space="0" w:color="auto"/>
          </w:divBdr>
          <w:divsChild>
            <w:div w:id="1078135837">
              <w:marLeft w:val="0"/>
              <w:marRight w:val="0"/>
              <w:marTop w:val="0"/>
              <w:marBottom w:val="0"/>
              <w:divBdr>
                <w:top w:val="none" w:sz="0" w:space="0" w:color="auto"/>
                <w:left w:val="none" w:sz="0" w:space="0" w:color="auto"/>
                <w:bottom w:val="none" w:sz="0" w:space="0" w:color="auto"/>
                <w:right w:val="none" w:sz="0" w:space="0" w:color="auto"/>
              </w:divBdr>
              <w:divsChild>
                <w:div w:id="1033270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7116318">
          <w:marLeft w:val="0"/>
          <w:marRight w:val="0"/>
          <w:marTop w:val="0"/>
          <w:marBottom w:val="0"/>
          <w:divBdr>
            <w:top w:val="none" w:sz="0" w:space="0" w:color="auto"/>
            <w:left w:val="none" w:sz="0" w:space="0" w:color="auto"/>
            <w:bottom w:val="none" w:sz="0" w:space="0" w:color="auto"/>
            <w:right w:val="none" w:sz="0" w:space="0" w:color="auto"/>
          </w:divBdr>
          <w:divsChild>
            <w:div w:id="289938225">
              <w:marLeft w:val="0"/>
              <w:marRight w:val="0"/>
              <w:marTop w:val="0"/>
              <w:marBottom w:val="0"/>
              <w:divBdr>
                <w:top w:val="none" w:sz="0" w:space="0" w:color="auto"/>
                <w:left w:val="none" w:sz="0" w:space="0" w:color="auto"/>
                <w:bottom w:val="none" w:sz="0" w:space="0" w:color="auto"/>
                <w:right w:val="none" w:sz="0" w:space="0" w:color="auto"/>
              </w:divBdr>
              <w:divsChild>
                <w:div w:id="1943342064">
                  <w:marLeft w:val="0"/>
                  <w:marRight w:val="0"/>
                  <w:marTop w:val="0"/>
                  <w:marBottom w:val="0"/>
                  <w:divBdr>
                    <w:top w:val="none" w:sz="0" w:space="0" w:color="auto"/>
                    <w:left w:val="none" w:sz="0" w:space="0" w:color="auto"/>
                    <w:bottom w:val="none" w:sz="0" w:space="0" w:color="auto"/>
                    <w:right w:val="none" w:sz="0" w:space="0" w:color="auto"/>
                  </w:divBdr>
                </w:div>
              </w:divsChild>
            </w:div>
            <w:div w:id="2018851210">
              <w:marLeft w:val="0"/>
              <w:marRight w:val="0"/>
              <w:marTop w:val="0"/>
              <w:marBottom w:val="0"/>
              <w:divBdr>
                <w:top w:val="none" w:sz="0" w:space="0" w:color="auto"/>
                <w:left w:val="none" w:sz="0" w:space="0" w:color="auto"/>
                <w:bottom w:val="none" w:sz="0" w:space="0" w:color="auto"/>
                <w:right w:val="none" w:sz="0" w:space="0" w:color="auto"/>
              </w:divBdr>
              <w:divsChild>
                <w:div w:id="926311531">
                  <w:marLeft w:val="0"/>
                  <w:marRight w:val="0"/>
                  <w:marTop w:val="0"/>
                  <w:marBottom w:val="0"/>
                  <w:divBdr>
                    <w:top w:val="none" w:sz="0" w:space="0" w:color="auto"/>
                    <w:left w:val="none" w:sz="0" w:space="0" w:color="auto"/>
                    <w:bottom w:val="none" w:sz="0" w:space="0" w:color="auto"/>
                    <w:right w:val="none" w:sz="0" w:space="0" w:color="auto"/>
                  </w:divBdr>
                </w:div>
              </w:divsChild>
            </w:div>
            <w:div w:id="2140606847">
              <w:marLeft w:val="0"/>
              <w:marRight w:val="0"/>
              <w:marTop w:val="0"/>
              <w:marBottom w:val="0"/>
              <w:divBdr>
                <w:top w:val="none" w:sz="0" w:space="0" w:color="auto"/>
                <w:left w:val="none" w:sz="0" w:space="0" w:color="auto"/>
                <w:bottom w:val="none" w:sz="0" w:space="0" w:color="auto"/>
                <w:right w:val="none" w:sz="0" w:space="0" w:color="auto"/>
              </w:divBdr>
              <w:divsChild>
                <w:div w:id="15619872">
                  <w:marLeft w:val="0"/>
                  <w:marRight w:val="0"/>
                  <w:marTop w:val="0"/>
                  <w:marBottom w:val="0"/>
                  <w:divBdr>
                    <w:top w:val="none" w:sz="0" w:space="0" w:color="auto"/>
                    <w:left w:val="none" w:sz="0" w:space="0" w:color="auto"/>
                    <w:bottom w:val="none" w:sz="0" w:space="0" w:color="auto"/>
                    <w:right w:val="none" w:sz="0" w:space="0" w:color="auto"/>
                  </w:divBdr>
                </w:div>
              </w:divsChild>
            </w:div>
            <w:div w:id="65347664">
              <w:marLeft w:val="0"/>
              <w:marRight w:val="0"/>
              <w:marTop w:val="0"/>
              <w:marBottom w:val="0"/>
              <w:divBdr>
                <w:top w:val="none" w:sz="0" w:space="0" w:color="auto"/>
                <w:left w:val="none" w:sz="0" w:space="0" w:color="auto"/>
                <w:bottom w:val="none" w:sz="0" w:space="0" w:color="auto"/>
                <w:right w:val="none" w:sz="0" w:space="0" w:color="auto"/>
              </w:divBdr>
              <w:divsChild>
                <w:div w:id="903224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633410">
          <w:marLeft w:val="0"/>
          <w:marRight w:val="0"/>
          <w:marTop w:val="0"/>
          <w:marBottom w:val="0"/>
          <w:divBdr>
            <w:top w:val="none" w:sz="0" w:space="0" w:color="auto"/>
            <w:left w:val="none" w:sz="0" w:space="0" w:color="auto"/>
            <w:bottom w:val="none" w:sz="0" w:space="0" w:color="auto"/>
            <w:right w:val="none" w:sz="0" w:space="0" w:color="auto"/>
          </w:divBdr>
          <w:divsChild>
            <w:div w:id="233006709">
              <w:marLeft w:val="0"/>
              <w:marRight w:val="0"/>
              <w:marTop w:val="0"/>
              <w:marBottom w:val="0"/>
              <w:divBdr>
                <w:top w:val="none" w:sz="0" w:space="0" w:color="auto"/>
                <w:left w:val="none" w:sz="0" w:space="0" w:color="auto"/>
                <w:bottom w:val="none" w:sz="0" w:space="0" w:color="auto"/>
                <w:right w:val="none" w:sz="0" w:space="0" w:color="auto"/>
              </w:divBdr>
              <w:divsChild>
                <w:div w:id="2055884057">
                  <w:marLeft w:val="0"/>
                  <w:marRight w:val="0"/>
                  <w:marTop w:val="0"/>
                  <w:marBottom w:val="0"/>
                  <w:divBdr>
                    <w:top w:val="none" w:sz="0" w:space="0" w:color="auto"/>
                    <w:left w:val="none" w:sz="0" w:space="0" w:color="auto"/>
                    <w:bottom w:val="none" w:sz="0" w:space="0" w:color="auto"/>
                    <w:right w:val="none" w:sz="0" w:space="0" w:color="auto"/>
                  </w:divBdr>
                </w:div>
                <w:div w:id="1402867463">
                  <w:marLeft w:val="0"/>
                  <w:marRight w:val="0"/>
                  <w:marTop w:val="0"/>
                  <w:marBottom w:val="0"/>
                  <w:divBdr>
                    <w:top w:val="none" w:sz="0" w:space="0" w:color="auto"/>
                    <w:left w:val="none" w:sz="0" w:space="0" w:color="auto"/>
                    <w:bottom w:val="none" w:sz="0" w:space="0" w:color="auto"/>
                    <w:right w:val="none" w:sz="0" w:space="0" w:color="auto"/>
                  </w:divBdr>
                </w:div>
              </w:divsChild>
            </w:div>
            <w:div w:id="704524217">
              <w:marLeft w:val="0"/>
              <w:marRight w:val="0"/>
              <w:marTop w:val="0"/>
              <w:marBottom w:val="0"/>
              <w:divBdr>
                <w:top w:val="none" w:sz="0" w:space="0" w:color="auto"/>
                <w:left w:val="none" w:sz="0" w:space="0" w:color="auto"/>
                <w:bottom w:val="none" w:sz="0" w:space="0" w:color="auto"/>
                <w:right w:val="none" w:sz="0" w:space="0" w:color="auto"/>
              </w:divBdr>
              <w:divsChild>
                <w:div w:id="765998991">
                  <w:marLeft w:val="0"/>
                  <w:marRight w:val="0"/>
                  <w:marTop w:val="0"/>
                  <w:marBottom w:val="0"/>
                  <w:divBdr>
                    <w:top w:val="none" w:sz="0" w:space="0" w:color="auto"/>
                    <w:left w:val="none" w:sz="0" w:space="0" w:color="auto"/>
                    <w:bottom w:val="none" w:sz="0" w:space="0" w:color="auto"/>
                    <w:right w:val="none" w:sz="0" w:space="0" w:color="auto"/>
                  </w:divBdr>
                </w:div>
                <w:div w:id="160392557">
                  <w:marLeft w:val="0"/>
                  <w:marRight w:val="0"/>
                  <w:marTop w:val="0"/>
                  <w:marBottom w:val="0"/>
                  <w:divBdr>
                    <w:top w:val="none" w:sz="0" w:space="0" w:color="auto"/>
                    <w:left w:val="none" w:sz="0" w:space="0" w:color="auto"/>
                    <w:bottom w:val="none" w:sz="0" w:space="0" w:color="auto"/>
                    <w:right w:val="none" w:sz="0" w:space="0" w:color="auto"/>
                  </w:divBdr>
                </w:div>
              </w:divsChild>
            </w:div>
            <w:div w:id="2128115297">
              <w:marLeft w:val="0"/>
              <w:marRight w:val="0"/>
              <w:marTop w:val="0"/>
              <w:marBottom w:val="0"/>
              <w:divBdr>
                <w:top w:val="none" w:sz="0" w:space="0" w:color="auto"/>
                <w:left w:val="none" w:sz="0" w:space="0" w:color="auto"/>
                <w:bottom w:val="none" w:sz="0" w:space="0" w:color="auto"/>
                <w:right w:val="none" w:sz="0" w:space="0" w:color="auto"/>
              </w:divBdr>
              <w:divsChild>
                <w:div w:id="1715734789">
                  <w:marLeft w:val="0"/>
                  <w:marRight w:val="0"/>
                  <w:marTop w:val="0"/>
                  <w:marBottom w:val="0"/>
                  <w:divBdr>
                    <w:top w:val="none" w:sz="0" w:space="0" w:color="auto"/>
                    <w:left w:val="none" w:sz="0" w:space="0" w:color="auto"/>
                    <w:bottom w:val="none" w:sz="0" w:space="0" w:color="auto"/>
                    <w:right w:val="none" w:sz="0" w:space="0" w:color="auto"/>
                  </w:divBdr>
                </w:div>
              </w:divsChild>
            </w:div>
            <w:div w:id="961889387">
              <w:marLeft w:val="0"/>
              <w:marRight w:val="0"/>
              <w:marTop w:val="0"/>
              <w:marBottom w:val="0"/>
              <w:divBdr>
                <w:top w:val="none" w:sz="0" w:space="0" w:color="auto"/>
                <w:left w:val="none" w:sz="0" w:space="0" w:color="auto"/>
                <w:bottom w:val="none" w:sz="0" w:space="0" w:color="auto"/>
                <w:right w:val="none" w:sz="0" w:space="0" w:color="auto"/>
              </w:divBdr>
              <w:divsChild>
                <w:div w:id="494691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7707320">
          <w:marLeft w:val="0"/>
          <w:marRight w:val="0"/>
          <w:marTop w:val="0"/>
          <w:marBottom w:val="0"/>
          <w:divBdr>
            <w:top w:val="none" w:sz="0" w:space="0" w:color="auto"/>
            <w:left w:val="none" w:sz="0" w:space="0" w:color="auto"/>
            <w:bottom w:val="none" w:sz="0" w:space="0" w:color="auto"/>
            <w:right w:val="none" w:sz="0" w:space="0" w:color="auto"/>
          </w:divBdr>
          <w:divsChild>
            <w:div w:id="1756779844">
              <w:marLeft w:val="0"/>
              <w:marRight w:val="0"/>
              <w:marTop w:val="0"/>
              <w:marBottom w:val="0"/>
              <w:divBdr>
                <w:top w:val="none" w:sz="0" w:space="0" w:color="auto"/>
                <w:left w:val="none" w:sz="0" w:space="0" w:color="auto"/>
                <w:bottom w:val="none" w:sz="0" w:space="0" w:color="auto"/>
                <w:right w:val="none" w:sz="0" w:space="0" w:color="auto"/>
              </w:divBdr>
              <w:divsChild>
                <w:div w:id="740559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0990147">
          <w:marLeft w:val="0"/>
          <w:marRight w:val="0"/>
          <w:marTop w:val="0"/>
          <w:marBottom w:val="0"/>
          <w:divBdr>
            <w:top w:val="none" w:sz="0" w:space="0" w:color="auto"/>
            <w:left w:val="none" w:sz="0" w:space="0" w:color="auto"/>
            <w:bottom w:val="none" w:sz="0" w:space="0" w:color="auto"/>
            <w:right w:val="none" w:sz="0" w:space="0" w:color="auto"/>
          </w:divBdr>
          <w:divsChild>
            <w:div w:id="1574970639">
              <w:marLeft w:val="0"/>
              <w:marRight w:val="0"/>
              <w:marTop w:val="0"/>
              <w:marBottom w:val="0"/>
              <w:divBdr>
                <w:top w:val="none" w:sz="0" w:space="0" w:color="auto"/>
                <w:left w:val="none" w:sz="0" w:space="0" w:color="auto"/>
                <w:bottom w:val="none" w:sz="0" w:space="0" w:color="auto"/>
                <w:right w:val="none" w:sz="0" w:space="0" w:color="auto"/>
              </w:divBdr>
              <w:divsChild>
                <w:div w:id="98532927">
                  <w:marLeft w:val="0"/>
                  <w:marRight w:val="0"/>
                  <w:marTop w:val="0"/>
                  <w:marBottom w:val="0"/>
                  <w:divBdr>
                    <w:top w:val="none" w:sz="0" w:space="0" w:color="auto"/>
                    <w:left w:val="none" w:sz="0" w:space="0" w:color="auto"/>
                    <w:bottom w:val="none" w:sz="0" w:space="0" w:color="auto"/>
                    <w:right w:val="none" w:sz="0" w:space="0" w:color="auto"/>
                  </w:divBdr>
                </w:div>
              </w:divsChild>
            </w:div>
            <w:div w:id="749237325">
              <w:marLeft w:val="0"/>
              <w:marRight w:val="0"/>
              <w:marTop w:val="0"/>
              <w:marBottom w:val="0"/>
              <w:divBdr>
                <w:top w:val="none" w:sz="0" w:space="0" w:color="auto"/>
                <w:left w:val="none" w:sz="0" w:space="0" w:color="auto"/>
                <w:bottom w:val="none" w:sz="0" w:space="0" w:color="auto"/>
                <w:right w:val="none" w:sz="0" w:space="0" w:color="auto"/>
              </w:divBdr>
              <w:divsChild>
                <w:div w:id="995376996">
                  <w:marLeft w:val="0"/>
                  <w:marRight w:val="0"/>
                  <w:marTop w:val="0"/>
                  <w:marBottom w:val="0"/>
                  <w:divBdr>
                    <w:top w:val="none" w:sz="0" w:space="0" w:color="auto"/>
                    <w:left w:val="none" w:sz="0" w:space="0" w:color="auto"/>
                    <w:bottom w:val="none" w:sz="0" w:space="0" w:color="auto"/>
                    <w:right w:val="none" w:sz="0" w:space="0" w:color="auto"/>
                  </w:divBdr>
                </w:div>
                <w:div w:id="187403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31002">
          <w:marLeft w:val="0"/>
          <w:marRight w:val="0"/>
          <w:marTop w:val="0"/>
          <w:marBottom w:val="0"/>
          <w:divBdr>
            <w:top w:val="none" w:sz="0" w:space="0" w:color="auto"/>
            <w:left w:val="none" w:sz="0" w:space="0" w:color="auto"/>
            <w:bottom w:val="none" w:sz="0" w:space="0" w:color="auto"/>
            <w:right w:val="none" w:sz="0" w:space="0" w:color="auto"/>
          </w:divBdr>
          <w:divsChild>
            <w:div w:id="1426265290">
              <w:marLeft w:val="0"/>
              <w:marRight w:val="0"/>
              <w:marTop w:val="0"/>
              <w:marBottom w:val="0"/>
              <w:divBdr>
                <w:top w:val="none" w:sz="0" w:space="0" w:color="auto"/>
                <w:left w:val="none" w:sz="0" w:space="0" w:color="auto"/>
                <w:bottom w:val="none" w:sz="0" w:space="0" w:color="auto"/>
                <w:right w:val="none" w:sz="0" w:space="0" w:color="auto"/>
              </w:divBdr>
              <w:divsChild>
                <w:div w:id="312219348">
                  <w:marLeft w:val="0"/>
                  <w:marRight w:val="0"/>
                  <w:marTop w:val="0"/>
                  <w:marBottom w:val="0"/>
                  <w:divBdr>
                    <w:top w:val="none" w:sz="0" w:space="0" w:color="auto"/>
                    <w:left w:val="none" w:sz="0" w:space="0" w:color="auto"/>
                    <w:bottom w:val="none" w:sz="0" w:space="0" w:color="auto"/>
                    <w:right w:val="none" w:sz="0" w:space="0" w:color="auto"/>
                  </w:divBdr>
                </w:div>
                <w:div w:id="159235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2106907">
          <w:marLeft w:val="0"/>
          <w:marRight w:val="0"/>
          <w:marTop w:val="0"/>
          <w:marBottom w:val="0"/>
          <w:divBdr>
            <w:top w:val="none" w:sz="0" w:space="0" w:color="auto"/>
            <w:left w:val="none" w:sz="0" w:space="0" w:color="auto"/>
            <w:bottom w:val="none" w:sz="0" w:space="0" w:color="auto"/>
            <w:right w:val="none" w:sz="0" w:space="0" w:color="auto"/>
          </w:divBdr>
          <w:divsChild>
            <w:div w:id="169106557">
              <w:marLeft w:val="0"/>
              <w:marRight w:val="0"/>
              <w:marTop w:val="0"/>
              <w:marBottom w:val="0"/>
              <w:divBdr>
                <w:top w:val="none" w:sz="0" w:space="0" w:color="auto"/>
                <w:left w:val="none" w:sz="0" w:space="0" w:color="auto"/>
                <w:bottom w:val="none" w:sz="0" w:space="0" w:color="auto"/>
                <w:right w:val="none" w:sz="0" w:space="0" w:color="auto"/>
              </w:divBdr>
              <w:divsChild>
                <w:div w:id="659844322">
                  <w:marLeft w:val="0"/>
                  <w:marRight w:val="0"/>
                  <w:marTop w:val="0"/>
                  <w:marBottom w:val="0"/>
                  <w:divBdr>
                    <w:top w:val="none" w:sz="0" w:space="0" w:color="auto"/>
                    <w:left w:val="none" w:sz="0" w:space="0" w:color="auto"/>
                    <w:bottom w:val="none" w:sz="0" w:space="0" w:color="auto"/>
                    <w:right w:val="none" w:sz="0" w:space="0" w:color="auto"/>
                  </w:divBdr>
                </w:div>
                <w:div w:id="1054307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71251">
          <w:marLeft w:val="0"/>
          <w:marRight w:val="0"/>
          <w:marTop w:val="0"/>
          <w:marBottom w:val="0"/>
          <w:divBdr>
            <w:top w:val="none" w:sz="0" w:space="0" w:color="auto"/>
            <w:left w:val="none" w:sz="0" w:space="0" w:color="auto"/>
            <w:bottom w:val="none" w:sz="0" w:space="0" w:color="auto"/>
            <w:right w:val="none" w:sz="0" w:space="0" w:color="auto"/>
          </w:divBdr>
          <w:divsChild>
            <w:div w:id="1504470302">
              <w:marLeft w:val="0"/>
              <w:marRight w:val="0"/>
              <w:marTop w:val="0"/>
              <w:marBottom w:val="0"/>
              <w:divBdr>
                <w:top w:val="none" w:sz="0" w:space="0" w:color="auto"/>
                <w:left w:val="none" w:sz="0" w:space="0" w:color="auto"/>
                <w:bottom w:val="none" w:sz="0" w:space="0" w:color="auto"/>
                <w:right w:val="none" w:sz="0" w:space="0" w:color="auto"/>
              </w:divBdr>
              <w:divsChild>
                <w:div w:id="1784152772">
                  <w:marLeft w:val="0"/>
                  <w:marRight w:val="0"/>
                  <w:marTop w:val="0"/>
                  <w:marBottom w:val="0"/>
                  <w:divBdr>
                    <w:top w:val="none" w:sz="0" w:space="0" w:color="auto"/>
                    <w:left w:val="none" w:sz="0" w:space="0" w:color="auto"/>
                    <w:bottom w:val="none" w:sz="0" w:space="0" w:color="auto"/>
                    <w:right w:val="none" w:sz="0" w:space="0" w:color="auto"/>
                  </w:divBdr>
                </w:div>
                <w:div w:id="813765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1954172">
          <w:marLeft w:val="0"/>
          <w:marRight w:val="0"/>
          <w:marTop w:val="0"/>
          <w:marBottom w:val="0"/>
          <w:divBdr>
            <w:top w:val="none" w:sz="0" w:space="0" w:color="auto"/>
            <w:left w:val="none" w:sz="0" w:space="0" w:color="auto"/>
            <w:bottom w:val="none" w:sz="0" w:space="0" w:color="auto"/>
            <w:right w:val="none" w:sz="0" w:space="0" w:color="auto"/>
          </w:divBdr>
          <w:divsChild>
            <w:div w:id="1155032933">
              <w:marLeft w:val="0"/>
              <w:marRight w:val="0"/>
              <w:marTop w:val="0"/>
              <w:marBottom w:val="0"/>
              <w:divBdr>
                <w:top w:val="none" w:sz="0" w:space="0" w:color="auto"/>
                <w:left w:val="none" w:sz="0" w:space="0" w:color="auto"/>
                <w:bottom w:val="none" w:sz="0" w:space="0" w:color="auto"/>
                <w:right w:val="none" w:sz="0" w:space="0" w:color="auto"/>
              </w:divBdr>
              <w:divsChild>
                <w:div w:id="1046443020">
                  <w:marLeft w:val="0"/>
                  <w:marRight w:val="0"/>
                  <w:marTop w:val="0"/>
                  <w:marBottom w:val="0"/>
                  <w:divBdr>
                    <w:top w:val="none" w:sz="0" w:space="0" w:color="auto"/>
                    <w:left w:val="none" w:sz="0" w:space="0" w:color="auto"/>
                    <w:bottom w:val="none" w:sz="0" w:space="0" w:color="auto"/>
                    <w:right w:val="none" w:sz="0" w:space="0" w:color="auto"/>
                  </w:divBdr>
                </w:div>
                <w:div w:id="1428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10</Pages>
  <Words>4749</Words>
  <Characters>25648</Characters>
  <Application>Microsoft Office Word</Application>
  <DocSecurity>0</DocSecurity>
  <Lines>213</Lines>
  <Paragraphs>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30337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2020-08-22T16:25:00Z</cp:lastPrinted>
  <dcterms:created xsi:type="dcterms:W3CDTF">2022-02-20T23:21:00Z</dcterms:created>
  <dcterms:modified xsi:type="dcterms:W3CDTF">2022-02-20T23:21:00Z</dcterms:modified>
</cp:coreProperties>
</file>