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59" w:rsidRPr="00773F59" w:rsidRDefault="00773F59" w:rsidP="00773F59">
      <w:pPr>
        <w:spacing w:line="480" w:lineRule="auto"/>
        <w:jc w:val="center"/>
        <w:rPr>
          <w:b/>
        </w:rPr>
      </w:pPr>
      <w:r w:rsidRPr="00773F59">
        <w:rPr>
          <w:b/>
        </w:rPr>
        <w:t>Avaliação clínica e radiológica em pacientes submetidos à artrodese com abordagem extremo lateral da coluna toracolombar</w:t>
      </w:r>
      <w:r w:rsidR="000853F7">
        <w:rPr>
          <w:b/>
        </w:rPr>
        <w:t>: um estudo retrospectivo</w:t>
      </w:r>
    </w:p>
    <w:p w:rsidR="00773F59" w:rsidRDefault="00773F59" w:rsidP="00773F59">
      <w:pPr>
        <w:spacing w:line="480" w:lineRule="auto"/>
        <w:jc w:val="center"/>
        <w:rPr>
          <w:b/>
          <w:lang w:val="en-US"/>
        </w:rPr>
      </w:pPr>
      <w:r w:rsidRPr="00773F59">
        <w:rPr>
          <w:b/>
          <w:lang w:val="en-US"/>
        </w:rPr>
        <w:t>Clinical and radiological outcomes in patients undergoing thoracic-lumbar arthrodesis via extreme lateral approach</w:t>
      </w:r>
      <w:r w:rsidR="000853F7">
        <w:rPr>
          <w:b/>
          <w:lang w:val="en-US"/>
        </w:rPr>
        <w:t>: ar</w:t>
      </w:r>
      <w:r w:rsidR="000853F7" w:rsidRPr="000853F7">
        <w:rPr>
          <w:b/>
          <w:lang w:val="en-US"/>
        </w:rPr>
        <w:t xml:space="preserve">etrospective </w:t>
      </w:r>
      <w:r w:rsidR="000853F7">
        <w:rPr>
          <w:b/>
          <w:lang w:val="en-US"/>
        </w:rPr>
        <w:t>s</w:t>
      </w:r>
      <w:r w:rsidR="000853F7" w:rsidRPr="000853F7">
        <w:rPr>
          <w:b/>
          <w:lang w:val="en-US"/>
        </w:rPr>
        <w:t>tudy</w:t>
      </w:r>
    </w:p>
    <w:p w:rsidR="00381EAE" w:rsidRPr="00773F59" w:rsidRDefault="00381EAE" w:rsidP="00381EAE">
      <w:pPr>
        <w:spacing w:line="480" w:lineRule="auto"/>
        <w:jc w:val="center"/>
        <w:rPr>
          <w:b/>
        </w:rPr>
      </w:pPr>
      <w:r w:rsidRPr="00773F59">
        <w:rPr>
          <w:b/>
        </w:rPr>
        <w:t>Resultados clínicos y radiológicos en pacientes sometidos a artrodesis torácico-lumbar por abordaje lateral extremo</w:t>
      </w:r>
      <w:r w:rsidR="000853F7">
        <w:rPr>
          <w:b/>
        </w:rPr>
        <w:t>: u</w:t>
      </w:r>
      <w:r w:rsidR="000853F7" w:rsidRPr="000853F7">
        <w:rPr>
          <w:b/>
        </w:rPr>
        <w:t>nestudio retrospectivo</w:t>
      </w:r>
    </w:p>
    <w:p w:rsidR="00773F59" w:rsidRDefault="00773F59" w:rsidP="00773F59">
      <w:pPr>
        <w:spacing w:line="480" w:lineRule="auto"/>
        <w:rPr>
          <w:b/>
        </w:rPr>
      </w:pPr>
    </w:p>
    <w:p w:rsidR="00381EAE" w:rsidRPr="00233307" w:rsidRDefault="00381EAE" w:rsidP="00773F59">
      <w:pPr>
        <w:spacing w:line="480" w:lineRule="auto"/>
        <w:rPr>
          <w:color w:val="222222"/>
          <w:lang w:val="es-ES"/>
        </w:rPr>
      </w:pPr>
    </w:p>
    <w:p w:rsidR="00773F59" w:rsidRPr="00233307" w:rsidRDefault="00773F59" w:rsidP="00101DA8">
      <w:pPr>
        <w:spacing w:line="480" w:lineRule="auto"/>
        <w:jc w:val="both"/>
      </w:pPr>
    </w:p>
    <w:p w:rsidR="00773F59" w:rsidRDefault="00773F59" w:rsidP="00101DA8">
      <w:pPr>
        <w:spacing w:line="480" w:lineRule="auto"/>
        <w:jc w:val="both"/>
        <w:rPr>
          <w:b/>
          <w:color w:val="000000" w:themeColor="text1"/>
        </w:rPr>
      </w:pPr>
    </w:p>
    <w:p w:rsidR="00773F59" w:rsidRDefault="00773F59" w:rsidP="00101DA8">
      <w:pPr>
        <w:spacing w:line="480" w:lineRule="auto"/>
        <w:jc w:val="both"/>
        <w:rPr>
          <w:b/>
          <w:color w:val="000000" w:themeColor="text1"/>
        </w:rPr>
      </w:pPr>
    </w:p>
    <w:p w:rsidR="00773F59" w:rsidRDefault="00773F59" w:rsidP="00101DA8">
      <w:pPr>
        <w:spacing w:line="480" w:lineRule="auto"/>
        <w:jc w:val="both"/>
        <w:rPr>
          <w:b/>
          <w:color w:val="000000" w:themeColor="text1"/>
        </w:rPr>
      </w:pPr>
    </w:p>
    <w:p w:rsidR="00597D38" w:rsidRPr="00773F59" w:rsidRDefault="00597D38" w:rsidP="00101DA8">
      <w:pPr>
        <w:spacing w:line="480" w:lineRule="auto"/>
        <w:jc w:val="both"/>
        <w:rPr>
          <w:color w:val="000000" w:themeColor="text1"/>
        </w:rPr>
      </w:pPr>
    </w:p>
    <w:p w:rsidR="00974FE6" w:rsidRPr="00773F59" w:rsidRDefault="00974FE6" w:rsidP="00773F59">
      <w:pPr>
        <w:spacing w:line="480" w:lineRule="auto"/>
        <w:rPr>
          <w:color w:val="000000" w:themeColor="text1"/>
        </w:rPr>
      </w:pPr>
      <w:r w:rsidRPr="00773F59">
        <w:rPr>
          <w:color w:val="000000" w:themeColor="text1"/>
        </w:rPr>
        <w:br w:type="page"/>
      </w:r>
    </w:p>
    <w:p w:rsidR="00974FE6" w:rsidRDefault="00974FE6" w:rsidP="00381EAE">
      <w:pPr>
        <w:pStyle w:val="TtuloPr-textual"/>
        <w:spacing w:after="0" w:line="480" w:lineRule="auto"/>
      </w:pPr>
      <w:bookmarkStart w:id="0" w:name="_Toc266865617"/>
      <w:r w:rsidRPr="00773F59">
        <w:lastRenderedPageBreak/>
        <w:t>resumo</w:t>
      </w:r>
      <w:bookmarkEnd w:id="0"/>
    </w:p>
    <w:p w:rsidR="00F07DBE" w:rsidRPr="00F07DBE" w:rsidRDefault="00F07DBE" w:rsidP="00381EAE">
      <w:pPr>
        <w:spacing w:line="480" w:lineRule="auto"/>
      </w:pPr>
    </w:p>
    <w:p w:rsidR="00F07DBE" w:rsidRPr="00773F59" w:rsidRDefault="00F07DBE" w:rsidP="00381EAE">
      <w:pPr>
        <w:tabs>
          <w:tab w:val="left" w:leader="dot" w:pos="8647"/>
        </w:tabs>
        <w:snapToGrid w:val="0"/>
        <w:spacing w:line="480" w:lineRule="auto"/>
        <w:ind w:right="-7"/>
        <w:jc w:val="both"/>
        <w:rPr>
          <w:color w:val="000000"/>
        </w:rPr>
      </w:pPr>
      <w:r w:rsidRPr="00773F59">
        <w:rPr>
          <w:b/>
          <w:bCs/>
          <w:color w:val="000000"/>
        </w:rPr>
        <w:t xml:space="preserve">Objetivo: </w:t>
      </w:r>
      <w:r w:rsidRPr="00773F59">
        <w:rPr>
          <w:color w:val="000000"/>
        </w:rPr>
        <w:t>Avaliar o perfil epidemiológ</w:t>
      </w:r>
      <w:r w:rsidR="00B83F3E">
        <w:rPr>
          <w:color w:val="000000"/>
        </w:rPr>
        <w:t>ico dos pacientes tratados com</w:t>
      </w:r>
      <w:r w:rsidRPr="00773F59">
        <w:rPr>
          <w:color w:val="000000"/>
        </w:rPr>
        <w:t xml:space="preserve"> XLIF, dados clínicos e radiológicos, incluindo o impacto na qualidade de vida, parâmetros de dor e melhora da lordose lombar. </w:t>
      </w:r>
      <w:r w:rsidRPr="00773F59">
        <w:rPr>
          <w:b/>
          <w:bCs/>
          <w:color w:val="000000"/>
        </w:rPr>
        <w:t xml:space="preserve">Métodos: </w:t>
      </w:r>
      <w:r w:rsidRPr="00773F59">
        <w:rPr>
          <w:color w:val="000000"/>
        </w:rPr>
        <w:t xml:space="preserve">Estudo longitudinal retrospectivo, em que foram revisados prontuários de pacientes submetidos à XLIF entre 2017 e 2020 </w:t>
      </w:r>
      <w:r w:rsidR="00B83F3E">
        <w:rPr>
          <w:color w:val="000000"/>
        </w:rPr>
        <w:t>em Hospital terciário</w:t>
      </w:r>
      <w:r w:rsidRPr="00773F59">
        <w:rPr>
          <w:color w:val="000000"/>
        </w:rPr>
        <w:t xml:space="preserve">. Foram registrados os aspectos demográficos, características clínicas através de parâmetros como EVA e o índice de incapacidade </w:t>
      </w:r>
      <w:r w:rsidR="00B83F3E">
        <w:rPr>
          <w:color w:val="000000"/>
        </w:rPr>
        <w:t>Oswestry,</w:t>
      </w:r>
      <w:r w:rsidRPr="00773F59">
        <w:rPr>
          <w:color w:val="000000"/>
        </w:rPr>
        <w:t xml:space="preserve"> aspectos radiológicos incluindo o ângulo de Cobb antes da cirurgia e 12 meses após. </w:t>
      </w:r>
      <w:r w:rsidRPr="00773F59">
        <w:rPr>
          <w:b/>
          <w:bCs/>
          <w:color w:val="000000"/>
        </w:rPr>
        <w:t xml:space="preserve">Resultados: </w:t>
      </w:r>
      <w:r w:rsidRPr="00773F59">
        <w:rPr>
          <w:color w:val="000000"/>
        </w:rPr>
        <w:t xml:space="preserve">Predominou o sexo feminino (66,7%), com média de idade de 59,1 anos (35-82 anos). O tempo de internação, em mediana, foi de 3 dias e o tempo de retorno às atividades diárias foi de 3 meses. Apenas quatro pacientes (8,9%) apresentaram complicações. A análise através de questionários demonstrou diferença significativa entre as pontuações pré e pós-operatórias em todas as escalas. No ODI, houve redução média na pontuação de 39,2% e na EVA, a pontuação mediana no pós operatório foi a metade da pontuação no pré-operatório (redução de 50%; p&lt;0,001). O ângulo da lordose teve aumento de 26,3% no pós-operatório em relação ao valor basal (p&lt;0,001). </w:t>
      </w:r>
      <w:r w:rsidRPr="00773F59">
        <w:rPr>
          <w:b/>
          <w:bCs/>
          <w:color w:val="000000"/>
        </w:rPr>
        <w:t xml:space="preserve">Conclusão: </w:t>
      </w:r>
      <w:r w:rsidR="00B83F3E">
        <w:rPr>
          <w:color w:val="000000"/>
        </w:rPr>
        <w:t xml:space="preserve">O </w:t>
      </w:r>
      <w:r w:rsidRPr="00773F59">
        <w:rPr>
          <w:color w:val="000000"/>
        </w:rPr>
        <w:t xml:space="preserve">XLIF apresenta baixos índices de complicação, melhora da lordose lombar e permite </w:t>
      </w:r>
      <w:r w:rsidR="00B83F3E">
        <w:rPr>
          <w:color w:val="000000"/>
        </w:rPr>
        <w:t>recuperação da</w:t>
      </w:r>
      <w:r w:rsidRPr="00773F59">
        <w:rPr>
          <w:color w:val="000000"/>
        </w:rPr>
        <w:t>s atividades diárias em curto período de tempo, além de desempenhar melhora estatisticamente significativa na qualidade de vida e no quadro álgico</w:t>
      </w:r>
      <w:r w:rsidR="00B83F3E">
        <w:rPr>
          <w:color w:val="000000"/>
        </w:rPr>
        <w:t xml:space="preserve"> dos pacientes.</w:t>
      </w:r>
    </w:p>
    <w:p w:rsidR="00F07DBE" w:rsidRPr="00773F59" w:rsidRDefault="00F07DBE" w:rsidP="00381EAE">
      <w:pPr>
        <w:spacing w:line="480" w:lineRule="auto"/>
        <w:jc w:val="both"/>
        <w:rPr>
          <w:color w:val="000000"/>
        </w:rPr>
      </w:pPr>
      <w:r w:rsidRPr="00773F59">
        <w:rPr>
          <w:b/>
          <w:bCs/>
          <w:color w:val="000000"/>
        </w:rPr>
        <w:t xml:space="preserve">Nível de evidência: </w:t>
      </w:r>
      <w:r w:rsidR="000F6F88">
        <w:rPr>
          <w:color w:val="000000"/>
        </w:rPr>
        <w:t>IV</w:t>
      </w:r>
      <w:r w:rsidRPr="00773F59">
        <w:rPr>
          <w:color w:val="000000"/>
        </w:rPr>
        <w:t>.</w:t>
      </w:r>
    </w:p>
    <w:p w:rsidR="00974FE6" w:rsidRPr="00773F59" w:rsidRDefault="00974FE6" w:rsidP="00381EAE">
      <w:pPr>
        <w:spacing w:line="480" w:lineRule="auto"/>
        <w:jc w:val="both"/>
        <w:rPr>
          <w:color w:val="000000"/>
        </w:rPr>
      </w:pPr>
      <w:r w:rsidRPr="00773F59">
        <w:rPr>
          <w:b/>
          <w:bCs/>
          <w:color w:val="000000"/>
        </w:rPr>
        <w:t>Palavras-chave:</w:t>
      </w:r>
      <w:r w:rsidRPr="00773F59">
        <w:rPr>
          <w:color w:val="000000"/>
        </w:rPr>
        <w:t xml:space="preserve"> Coluna vertebral; Artrodese; </w:t>
      </w:r>
      <w:r w:rsidR="004C6BAE" w:rsidRPr="004C6BAE">
        <w:rPr>
          <w:color w:val="000000"/>
        </w:rPr>
        <w:t>Procedimentos Cirúrgicos Minimamente Invasivos</w:t>
      </w:r>
      <w:r w:rsidRPr="00773F59">
        <w:rPr>
          <w:color w:val="000000"/>
        </w:rPr>
        <w:t xml:space="preserve">; </w:t>
      </w:r>
      <w:r w:rsidR="004C6BAE" w:rsidRPr="004C6BAE">
        <w:rPr>
          <w:color w:val="000000"/>
        </w:rPr>
        <w:t>Medição da Dor</w:t>
      </w:r>
      <w:r w:rsidRPr="00773F59">
        <w:rPr>
          <w:color w:val="000000"/>
        </w:rPr>
        <w:t>.</w:t>
      </w:r>
    </w:p>
    <w:p w:rsidR="00381EAE" w:rsidRPr="00195729" w:rsidRDefault="00381EAE" w:rsidP="00381EAE">
      <w:pPr>
        <w:pStyle w:val="TtuloPr-textual"/>
        <w:spacing w:after="0" w:line="480" w:lineRule="auto"/>
      </w:pPr>
      <w:bookmarkStart w:id="1" w:name="_Toc257729052"/>
      <w:bookmarkStart w:id="2" w:name="_Toc257729440"/>
      <w:bookmarkStart w:id="3" w:name="_Toc257729477"/>
    </w:p>
    <w:p w:rsidR="00974FE6" w:rsidRDefault="00974FE6" w:rsidP="00381EAE">
      <w:pPr>
        <w:pStyle w:val="TtuloPr-textual"/>
        <w:spacing w:after="0" w:line="480" w:lineRule="auto"/>
        <w:rPr>
          <w:lang w:val="en-US"/>
        </w:rPr>
      </w:pPr>
      <w:r w:rsidRPr="00773F59">
        <w:rPr>
          <w:lang w:val="en-US"/>
        </w:rPr>
        <w:t>ABSTRACT</w:t>
      </w:r>
      <w:bookmarkEnd w:id="1"/>
      <w:bookmarkEnd w:id="2"/>
      <w:bookmarkEnd w:id="3"/>
      <w:r w:rsidR="00CA5044" w:rsidRPr="00773F59">
        <w:rPr>
          <w:lang w:val="en-US"/>
        </w:rPr>
        <w:t>:</w:t>
      </w:r>
    </w:p>
    <w:p w:rsidR="00F07DBE" w:rsidRPr="00F07DBE" w:rsidRDefault="00F07DBE" w:rsidP="00381EAE">
      <w:pPr>
        <w:spacing w:line="480" w:lineRule="auto"/>
        <w:rPr>
          <w:lang w:val="en-US"/>
        </w:rPr>
      </w:pPr>
    </w:p>
    <w:p w:rsidR="00CF16BB" w:rsidRPr="00773F59" w:rsidRDefault="00CF16BB" w:rsidP="00381EAE">
      <w:pPr>
        <w:pStyle w:val="Dedicatria-Epigrafe"/>
        <w:spacing w:line="480" w:lineRule="auto"/>
        <w:ind w:left="0"/>
        <w:jc w:val="both"/>
        <w:rPr>
          <w:lang w:val="en-US"/>
        </w:rPr>
      </w:pPr>
      <w:r w:rsidRPr="00773F59">
        <w:rPr>
          <w:b/>
          <w:bCs/>
          <w:lang w:val="en-US"/>
        </w:rPr>
        <w:t>Objective:</w:t>
      </w:r>
      <w:r w:rsidRPr="00773F59">
        <w:rPr>
          <w:lang w:val="en-US"/>
        </w:rPr>
        <w:t xml:space="preserve"> To evaluate the epidemiological, clinical and radiological data of patients treated with XLIF, including the impact on quality of life, pain parameters and improvement of lumbar lordosis. </w:t>
      </w:r>
      <w:r w:rsidRPr="00773F59">
        <w:rPr>
          <w:b/>
          <w:bCs/>
          <w:lang w:val="en-US"/>
        </w:rPr>
        <w:t>Methods:</w:t>
      </w:r>
      <w:r w:rsidRPr="00773F59">
        <w:rPr>
          <w:lang w:val="en-US"/>
        </w:rPr>
        <w:t xml:space="preserve"> Retrospective longitudinal study, in which medical records of patients who underwent XLIF between 2017 and 2020 at Hospital do Trabalhador/UFPR were reviewed. Demographic </w:t>
      </w:r>
      <w:r w:rsidR="00072061" w:rsidRPr="00773F59">
        <w:rPr>
          <w:lang w:val="en-US"/>
        </w:rPr>
        <w:t>characteristics</w:t>
      </w:r>
      <w:r w:rsidR="00072061">
        <w:rPr>
          <w:lang w:val="en-US"/>
        </w:rPr>
        <w:t xml:space="preserve"> and </w:t>
      </w:r>
      <w:r w:rsidR="00072061" w:rsidRPr="00773F59">
        <w:rPr>
          <w:lang w:val="en-US"/>
        </w:rPr>
        <w:t>radiological aspects</w:t>
      </w:r>
      <w:r w:rsidR="00072061">
        <w:rPr>
          <w:lang w:val="en-US"/>
        </w:rPr>
        <w:t xml:space="preserve">, </w:t>
      </w:r>
      <w:r w:rsidR="00072061" w:rsidRPr="00773F59">
        <w:rPr>
          <w:lang w:val="en-US"/>
        </w:rPr>
        <w:t>such as Cobb angle</w:t>
      </w:r>
      <w:r w:rsidR="00072061">
        <w:rPr>
          <w:lang w:val="en-US"/>
        </w:rPr>
        <w:t>,</w:t>
      </w:r>
      <w:r w:rsidRPr="00773F59">
        <w:rPr>
          <w:lang w:val="en-US"/>
        </w:rPr>
        <w:t xml:space="preserve"> were recorded</w:t>
      </w:r>
      <w:r w:rsidR="00072061">
        <w:rPr>
          <w:lang w:val="en-US"/>
        </w:rPr>
        <w:t>. C</w:t>
      </w:r>
      <w:r w:rsidRPr="00773F59">
        <w:rPr>
          <w:lang w:val="en-US"/>
        </w:rPr>
        <w:t>linical characteristics using parameters such as pain by VAS and the disability index by ODI</w:t>
      </w:r>
      <w:r w:rsidR="008C5495">
        <w:rPr>
          <w:lang w:val="en-US"/>
        </w:rPr>
        <w:t xml:space="preserve"> </w:t>
      </w:r>
      <w:r w:rsidR="00364174" w:rsidRPr="00773F59">
        <w:rPr>
          <w:lang w:val="en-US"/>
        </w:rPr>
        <w:t xml:space="preserve">were evaluated before surgery and 12 months after. </w:t>
      </w:r>
      <w:r w:rsidRPr="00773F59">
        <w:rPr>
          <w:b/>
          <w:bCs/>
          <w:lang w:val="en-US"/>
        </w:rPr>
        <w:t>Results:</w:t>
      </w:r>
      <w:r w:rsidR="00364174" w:rsidRPr="00773F59">
        <w:rPr>
          <w:lang w:val="en-US"/>
        </w:rPr>
        <w:t xml:space="preserve">Female patients predominated </w:t>
      </w:r>
      <w:r w:rsidRPr="00773F59">
        <w:rPr>
          <w:lang w:val="en-US"/>
        </w:rPr>
        <w:t xml:space="preserve">(66.7%), with a mean age of 59.1 years (35-82 years). The length of stay, in median, was 3 days and the time to return to daily activities was 3 months. Only four patients (8.9%) had complications. The analysis through questionnaires showed a significant difference between the pre and postoperative scores on all scales. </w:t>
      </w:r>
      <w:r w:rsidR="00072061">
        <w:rPr>
          <w:lang w:val="en-US"/>
        </w:rPr>
        <w:t>The</w:t>
      </w:r>
      <w:r w:rsidRPr="00773F59">
        <w:rPr>
          <w:lang w:val="en-US"/>
        </w:rPr>
        <w:t xml:space="preserve"> ODI</w:t>
      </w:r>
      <w:r w:rsidR="00072061">
        <w:rPr>
          <w:lang w:val="en-US"/>
        </w:rPr>
        <w:t xml:space="preserve"> showed </w:t>
      </w:r>
      <w:r w:rsidRPr="00773F59">
        <w:rPr>
          <w:lang w:val="en-US"/>
        </w:rPr>
        <w:t>an average reduction of 39.2% and the median score</w:t>
      </w:r>
      <w:r w:rsidR="00072061">
        <w:rPr>
          <w:lang w:val="en-US"/>
        </w:rPr>
        <w:t xml:space="preserve"> of VAS</w:t>
      </w:r>
      <w:r w:rsidRPr="00773F59">
        <w:rPr>
          <w:lang w:val="en-US"/>
        </w:rPr>
        <w:t xml:space="preserve"> in the postoperative period was half of the score in the preoperative period (reduction of 50%; p &lt;0.001). The angle of lordosis increased 26.3% in the postoperative period (p &lt;0.001). </w:t>
      </w:r>
      <w:r w:rsidRPr="00072061">
        <w:rPr>
          <w:b/>
          <w:bCs/>
          <w:lang w:val="en-US"/>
        </w:rPr>
        <w:t>Conclusion:</w:t>
      </w:r>
      <w:r w:rsidRPr="00773F59">
        <w:rPr>
          <w:lang w:val="en-US"/>
        </w:rPr>
        <w:t xml:space="preserve"> XLIF </w:t>
      </w:r>
      <w:r w:rsidR="00072061">
        <w:rPr>
          <w:lang w:val="en-US"/>
        </w:rPr>
        <w:t>presents</w:t>
      </w:r>
      <w:r w:rsidRPr="00773F59">
        <w:rPr>
          <w:lang w:val="en-US"/>
        </w:rPr>
        <w:t xml:space="preserve"> low complication rates, improves lumbar lordosis and allows recovery from daily activities in a short period of time, in addition to performing a statistically significant improvement in quality of life and pain according to the </w:t>
      </w:r>
      <w:r w:rsidR="00072061">
        <w:rPr>
          <w:lang w:val="en-US"/>
        </w:rPr>
        <w:t>VAS</w:t>
      </w:r>
      <w:r w:rsidRPr="00773F59">
        <w:rPr>
          <w:lang w:val="en-US"/>
        </w:rPr>
        <w:t xml:space="preserve"> and ODI scales, being, therefore, a viable and effective treatment technique.</w:t>
      </w:r>
    </w:p>
    <w:p w:rsidR="00CF16BB" w:rsidRPr="00773F59" w:rsidRDefault="00CF16BB" w:rsidP="00381EAE">
      <w:pPr>
        <w:pStyle w:val="Dedicatria-Epigrafe"/>
        <w:spacing w:line="480" w:lineRule="auto"/>
        <w:ind w:left="0"/>
        <w:jc w:val="both"/>
        <w:rPr>
          <w:lang w:val="en-US"/>
        </w:rPr>
      </w:pPr>
      <w:r w:rsidRPr="00072061">
        <w:rPr>
          <w:b/>
          <w:bCs/>
          <w:lang w:val="en-US"/>
        </w:rPr>
        <w:t>Level of evidence:</w:t>
      </w:r>
      <w:r w:rsidR="000F6F88">
        <w:rPr>
          <w:lang w:val="en-US"/>
        </w:rPr>
        <w:t>IV</w:t>
      </w:r>
      <w:r w:rsidRPr="00773F59">
        <w:rPr>
          <w:lang w:val="en-US"/>
        </w:rPr>
        <w:t>.</w:t>
      </w:r>
    </w:p>
    <w:p w:rsidR="00974FE6" w:rsidRDefault="00974FE6" w:rsidP="00381EAE">
      <w:pPr>
        <w:pStyle w:val="Dedicatria-Epigrafe"/>
        <w:spacing w:line="480" w:lineRule="auto"/>
        <w:ind w:left="0"/>
        <w:jc w:val="both"/>
        <w:rPr>
          <w:lang w:val="en-US"/>
        </w:rPr>
      </w:pPr>
      <w:r w:rsidRPr="00773F59">
        <w:rPr>
          <w:b/>
          <w:bCs/>
          <w:lang w:val="en-US"/>
        </w:rPr>
        <w:t xml:space="preserve">Keywords: </w:t>
      </w:r>
      <w:r w:rsidRPr="00773F59">
        <w:rPr>
          <w:lang w:val="en-US"/>
        </w:rPr>
        <w:t>Spine;</w:t>
      </w:r>
      <w:r w:rsidR="004C6BAE" w:rsidRPr="004C6BAE">
        <w:rPr>
          <w:lang w:val="en-US"/>
        </w:rPr>
        <w:t>Arthrodesis</w:t>
      </w:r>
      <w:r w:rsidRPr="00773F59">
        <w:rPr>
          <w:lang w:val="en-US"/>
        </w:rPr>
        <w:t xml:space="preserve">; </w:t>
      </w:r>
      <w:r w:rsidR="004C6BAE" w:rsidRPr="004C6BAE">
        <w:rPr>
          <w:lang w:val="en-US"/>
        </w:rPr>
        <w:t>Minimally Invasive Surgical Procedures</w:t>
      </w:r>
      <w:r w:rsidRPr="00773F59">
        <w:rPr>
          <w:lang w:val="en-US"/>
        </w:rPr>
        <w:t>;</w:t>
      </w:r>
      <w:r w:rsidR="004C6BAE" w:rsidRPr="004C6BAE">
        <w:rPr>
          <w:lang w:val="en-US"/>
        </w:rPr>
        <w:t>Pain Measurement</w:t>
      </w:r>
      <w:r w:rsidRPr="00773F59">
        <w:rPr>
          <w:lang w:val="en-US"/>
        </w:rPr>
        <w:t>.</w:t>
      </w:r>
    </w:p>
    <w:p w:rsidR="00072061" w:rsidRDefault="00072061" w:rsidP="00381EAE">
      <w:pPr>
        <w:pStyle w:val="Dedicatria-Epigrafe"/>
        <w:spacing w:line="480" w:lineRule="auto"/>
        <w:ind w:left="0"/>
        <w:jc w:val="both"/>
        <w:rPr>
          <w:lang w:val="en-US"/>
        </w:rPr>
      </w:pPr>
    </w:p>
    <w:p w:rsidR="00381EAE" w:rsidRDefault="00381EAE" w:rsidP="00381EAE">
      <w:pPr>
        <w:pStyle w:val="Dedicatria-Epigrafe"/>
        <w:spacing w:line="480" w:lineRule="auto"/>
        <w:ind w:left="0"/>
        <w:jc w:val="both"/>
        <w:rPr>
          <w:lang w:val="en-US"/>
        </w:rPr>
      </w:pPr>
    </w:p>
    <w:p w:rsidR="00072061" w:rsidRPr="00072061" w:rsidRDefault="00072061" w:rsidP="00381EAE">
      <w:pPr>
        <w:pStyle w:val="Dedicatria-Epigrafe"/>
        <w:spacing w:line="480" w:lineRule="auto"/>
        <w:ind w:left="0"/>
        <w:jc w:val="both"/>
        <w:rPr>
          <w:b/>
          <w:bCs/>
        </w:rPr>
      </w:pPr>
      <w:r w:rsidRPr="00072061">
        <w:rPr>
          <w:b/>
          <w:bCs/>
        </w:rPr>
        <w:lastRenderedPageBreak/>
        <w:t>RESUMEN:</w:t>
      </w:r>
    </w:p>
    <w:p w:rsidR="00072061" w:rsidRDefault="00072061" w:rsidP="00381EAE">
      <w:pPr>
        <w:pStyle w:val="Dedicatria-Epigrafe"/>
        <w:spacing w:line="480" w:lineRule="auto"/>
        <w:ind w:left="0"/>
        <w:jc w:val="both"/>
      </w:pPr>
    </w:p>
    <w:p w:rsidR="00072061" w:rsidRPr="00072061" w:rsidRDefault="00072061" w:rsidP="00381EAE">
      <w:pPr>
        <w:pStyle w:val="Dedicatria-Epigrafe"/>
        <w:spacing w:line="480" w:lineRule="auto"/>
        <w:ind w:left="0"/>
        <w:jc w:val="both"/>
      </w:pPr>
      <w:r w:rsidRPr="00072061">
        <w:rPr>
          <w:b/>
          <w:bCs/>
        </w:rPr>
        <w:t>Objetivo:</w:t>
      </w:r>
      <w:r w:rsidRPr="00072061">
        <w:t>Evaluar</w:t>
      </w:r>
      <w:r w:rsidR="008C5495">
        <w:t xml:space="preserve"> </w:t>
      </w:r>
      <w:r w:rsidRPr="00072061">
        <w:t>los</w:t>
      </w:r>
      <w:r w:rsidR="008C5495">
        <w:t xml:space="preserve"> </w:t>
      </w:r>
      <w:r w:rsidRPr="00072061">
        <w:t>datos epidemiológicos, clínicos y radiológicos de los pacientes tratados con XLIF, incluyendoel impacto enlacalidad de vida, los</w:t>
      </w:r>
      <w:r w:rsidR="008C5495">
        <w:t xml:space="preserve"> </w:t>
      </w:r>
      <w:r w:rsidRPr="00072061">
        <w:t>parámetros de dolor y lamejoría de lalordosis</w:t>
      </w:r>
      <w:r w:rsidR="008C5495">
        <w:t xml:space="preserve"> </w:t>
      </w:r>
      <w:r w:rsidRPr="00072061">
        <w:t xml:space="preserve">lumbar. </w:t>
      </w:r>
      <w:r w:rsidRPr="000F6F88">
        <w:rPr>
          <w:b/>
          <w:bCs/>
        </w:rPr>
        <w:t>Métodos</w:t>
      </w:r>
      <w:r w:rsidRPr="00072061">
        <w:t xml:space="preserve">: Estudio longitudinal retrospectivo, </w:t>
      </w:r>
      <w:r w:rsidR="000F6F88">
        <w:t>revisando</w:t>
      </w:r>
      <w:r w:rsidR="008C5495">
        <w:t xml:space="preserve"> lãs </w:t>
      </w:r>
      <w:r w:rsidRPr="00072061">
        <w:t>historias clínicas de los pacientes que se sometieron a XLIF entre 2017 y 2020 enel Hospital do Trabalhador/UFPR. Se registraron características demográficas y radiológic</w:t>
      </w:r>
      <w:r w:rsidR="000F6F88">
        <w:t>a</w:t>
      </w:r>
      <w:r w:rsidRPr="00072061">
        <w:t xml:space="preserve">s, como elángulo de Cobb. Se evaluaronlas características clínicas mediante parámetros como eldolor por EVA y el índice de discapacidad por ODI antes de lacirugía y 12 meses después. </w:t>
      </w:r>
      <w:r w:rsidRPr="000F6F88">
        <w:rPr>
          <w:b/>
          <w:bCs/>
        </w:rPr>
        <w:t>Resultados:</w:t>
      </w:r>
      <w:r w:rsidRPr="00072061">
        <w:t xml:space="preserve">Predominóel sexo femenino (66,7%), con una edad media de 59,1 años (35-82 años). La duración de la estancia, en mediana, fue de 3 días y eltiempo para volver a lasactividadesdiariasfue de 3 meses. Solo cuatro pacientes (8,9%) presentaroncomplicaciones. </w:t>
      </w:r>
      <w:r w:rsidR="000F6F88" w:rsidRPr="000F6F88">
        <w:t>Los cuestionariosmostraron</w:t>
      </w:r>
      <w:r w:rsidRPr="00072061">
        <w:t xml:space="preserve">una diferencia significativa entre laspuntuacionespre y postoperatorias. El ODI mostró una reducción media del 39,2% y lapuntuación media de la EVA enelpostoperatoriofuelamitad de lapuntuaciónenelpreoperatorio (p &lt;0,001). El ángulo de lordosisaumentóun 26,3% enelpostoperatorio (p &lt;0,001). </w:t>
      </w:r>
      <w:r w:rsidRPr="000F6F88">
        <w:rPr>
          <w:b/>
          <w:bCs/>
        </w:rPr>
        <w:t>Conclusi</w:t>
      </w:r>
      <w:r w:rsidR="000F6F88">
        <w:rPr>
          <w:b/>
          <w:bCs/>
        </w:rPr>
        <w:t>o</w:t>
      </w:r>
      <w:r w:rsidRPr="000F6F88">
        <w:rPr>
          <w:b/>
          <w:bCs/>
        </w:rPr>
        <w:t>n</w:t>
      </w:r>
      <w:r w:rsidR="000F6F88">
        <w:rPr>
          <w:b/>
          <w:bCs/>
        </w:rPr>
        <w:t>es</w:t>
      </w:r>
      <w:r w:rsidRPr="000F6F88">
        <w:rPr>
          <w:b/>
          <w:bCs/>
        </w:rPr>
        <w:t>:</w:t>
      </w:r>
      <w:r w:rsidRPr="00072061">
        <w:t xml:space="preserve"> XLIF presenta bajas tasas de complicaciones, mejoralalordosislumbar y permite larecuperación de lasactividadesdiariasenun corto período de tiempo, </w:t>
      </w:r>
      <w:r w:rsidR="000F6F88">
        <w:t>con</w:t>
      </w:r>
      <w:r w:rsidRPr="00072061">
        <w:t xml:space="preserve"> una mejoraestadísticamente significativa enlacalidad de vida y eldolorsegún EVA y ODI, siendouna técnica de tratamientoviable y eficaz.</w:t>
      </w:r>
    </w:p>
    <w:p w:rsidR="00072061" w:rsidRPr="00072061" w:rsidRDefault="00072061" w:rsidP="00381EAE">
      <w:pPr>
        <w:pStyle w:val="Dedicatria-Epigrafe"/>
        <w:spacing w:line="480" w:lineRule="auto"/>
        <w:ind w:left="0"/>
        <w:jc w:val="both"/>
      </w:pPr>
      <w:r w:rsidRPr="000F6F88">
        <w:rPr>
          <w:b/>
          <w:bCs/>
        </w:rPr>
        <w:t>Nivel de evidencia:</w:t>
      </w:r>
      <w:r w:rsidR="000F6F88">
        <w:t>IV</w:t>
      </w:r>
      <w:r w:rsidRPr="00072061">
        <w:t>.</w:t>
      </w:r>
    </w:p>
    <w:p w:rsidR="00072061" w:rsidRPr="00072061" w:rsidRDefault="000F6F88" w:rsidP="00381EAE">
      <w:pPr>
        <w:pStyle w:val="Dedicatria-Epigrafe"/>
        <w:spacing w:line="480" w:lineRule="auto"/>
        <w:ind w:left="0"/>
        <w:jc w:val="both"/>
      </w:pPr>
      <w:r w:rsidRPr="000F6F88">
        <w:rPr>
          <w:b/>
          <w:bCs/>
        </w:rPr>
        <w:t>Descriptores</w:t>
      </w:r>
      <w:r w:rsidR="00072061" w:rsidRPr="000F6F88">
        <w:rPr>
          <w:b/>
          <w:bCs/>
        </w:rPr>
        <w:t>:</w:t>
      </w:r>
      <w:r w:rsidR="00072061" w:rsidRPr="00072061">
        <w:t>Columna vertebral; Artrodesis; Procedimientos</w:t>
      </w:r>
      <w:r w:rsidR="000335DF">
        <w:t>Q</w:t>
      </w:r>
      <w:r w:rsidR="00072061" w:rsidRPr="00072061">
        <w:t>uirúrgicos</w:t>
      </w:r>
      <w:r w:rsidR="000335DF">
        <w:t>M</w:t>
      </w:r>
      <w:r w:rsidR="00072061" w:rsidRPr="00072061">
        <w:t xml:space="preserve">ínimamente invasivos; </w:t>
      </w:r>
      <w:r w:rsidR="000335DF" w:rsidRPr="000335DF">
        <w:t>Dimensión</w:t>
      </w:r>
      <w:r w:rsidR="00072061" w:rsidRPr="00072061">
        <w:t>del</w:t>
      </w:r>
      <w:r w:rsidR="000335DF">
        <w:t>D</w:t>
      </w:r>
      <w:r w:rsidR="00072061" w:rsidRPr="00072061">
        <w:t>olor.</w:t>
      </w:r>
    </w:p>
    <w:p w:rsidR="00974FE6" w:rsidRPr="00773F59" w:rsidRDefault="00974FE6" w:rsidP="00773F59">
      <w:pPr>
        <w:pStyle w:val="Ttulo1"/>
        <w:numPr>
          <w:ilvl w:val="0"/>
          <w:numId w:val="0"/>
        </w:numPr>
        <w:spacing w:line="480" w:lineRule="auto"/>
        <w:ind w:left="432" w:hanging="432"/>
        <w:rPr>
          <w:szCs w:val="24"/>
        </w:rPr>
      </w:pPr>
      <w:r w:rsidRPr="00072061">
        <w:rPr>
          <w:szCs w:val="24"/>
        </w:rPr>
        <w:br w:type="page"/>
      </w:r>
      <w:bookmarkStart w:id="4" w:name="_Toc257728957"/>
      <w:bookmarkStart w:id="5" w:name="_Toc257729058"/>
      <w:bookmarkStart w:id="6" w:name="_Toc257729280"/>
      <w:bookmarkStart w:id="7" w:name="_Toc257729446"/>
      <w:bookmarkStart w:id="8" w:name="_Toc257729483"/>
      <w:bookmarkStart w:id="9" w:name="_Toc257729500"/>
      <w:bookmarkStart w:id="10" w:name="_Toc257814807"/>
      <w:bookmarkStart w:id="11" w:name="_Toc266865623"/>
      <w:bookmarkStart w:id="12" w:name="_Toc459201138"/>
      <w:bookmarkStart w:id="13" w:name="_Toc459201242"/>
      <w:bookmarkStart w:id="14" w:name="_Toc459201346"/>
      <w:bookmarkStart w:id="15" w:name="_Toc459201398"/>
      <w:bookmarkStart w:id="16" w:name="_Toc459206566"/>
      <w:bookmarkStart w:id="17" w:name="_Toc64033308"/>
      <w:bookmarkStart w:id="18" w:name="_Toc64898653"/>
      <w:r w:rsidRPr="00773F59">
        <w:rPr>
          <w:szCs w:val="24"/>
        </w:rPr>
        <w:lastRenderedPageBreak/>
        <w:t>Introdução</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74FE6" w:rsidRPr="00773F59" w:rsidRDefault="00974FE6" w:rsidP="00773F59">
      <w:pPr>
        <w:widowControl w:val="0"/>
        <w:spacing w:line="480" w:lineRule="auto"/>
        <w:ind w:firstLine="851"/>
        <w:jc w:val="both"/>
        <w:rPr>
          <w:color w:val="000000" w:themeColor="text1"/>
        </w:rPr>
      </w:pPr>
      <w:bookmarkStart w:id="19" w:name="_Toc459201139"/>
      <w:bookmarkStart w:id="20" w:name="_Toc459201243"/>
      <w:bookmarkStart w:id="21" w:name="_Toc459201347"/>
      <w:bookmarkStart w:id="22" w:name="_Toc459201399"/>
      <w:bookmarkStart w:id="23" w:name="_Toc459206567"/>
      <w:bookmarkStart w:id="24" w:name="_Toc64033309"/>
      <w:r w:rsidRPr="00773F59">
        <w:rPr>
          <w:color w:val="000000" w:themeColor="text1"/>
        </w:rPr>
        <w:t>A artrodese toracolombar vem sendo amplamente utilizada para diversas doenças da coluna, incluindo discopatia degenerativa, trauma, infecções, tumores, deformidade</w:t>
      </w:r>
      <w:r w:rsidR="00F7230C" w:rsidRPr="00773F59">
        <w:rPr>
          <w:color w:val="000000" w:themeColor="text1"/>
        </w:rPr>
        <w:t>s</w:t>
      </w:r>
      <w:r w:rsidRPr="00773F59">
        <w:rPr>
          <w:color w:val="000000" w:themeColor="text1"/>
        </w:rPr>
        <w:t xml:space="preserve"> e instabilidade</w:t>
      </w:r>
      <w:r w:rsidR="00B5052E" w:rsidRPr="00773F59">
        <w:rPr>
          <w:color w:val="000000" w:themeColor="text1"/>
          <w:vertAlign w:val="superscript"/>
        </w:rPr>
        <w:t>1</w:t>
      </w:r>
      <w:r w:rsidRPr="00773F59">
        <w:rPr>
          <w:color w:val="000000" w:themeColor="text1"/>
        </w:rPr>
        <w:t>.</w:t>
      </w:r>
      <w:r w:rsidR="00CE2B81" w:rsidRPr="00773F59">
        <w:rPr>
          <w:color w:val="000000" w:themeColor="text1"/>
        </w:rPr>
        <w:t xml:space="preserve"> Esta</w:t>
      </w:r>
      <w:r w:rsidRPr="00773F59">
        <w:rPr>
          <w:color w:val="000000" w:themeColor="text1"/>
        </w:rPr>
        <w:t xml:space="preserve"> fusão entre os corpos vertebrais geralmente acompanha a introdução de um implante estrutural no espaço discal, que pode ser um aloenxerto ou </w:t>
      </w:r>
      <w:r w:rsidR="008C5495" w:rsidRPr="008C5495">
        <w:rPr>
          <w:color w:val="000000" w:themeColor="text1"/>
        </w:rPr>
        <w:t>uma caixa</w:t>
      </w:r>
      <w:r w:rsidR="008C5495">
        <w:rPr>
          <w:color w:val="000000" w:themeColor="text1"/>
        </w:rPr>
        <w:t xml:space="preserve"> de suporte</w:t>
      </w:r>
      <w:r w:rsidR="00B5052E" w:rsidRPr="008C5495">
        <w:rPr>
          <w:color w:val="000000" w:themeColor="text1"/>
          <w:vertAlign w:val="superscript"/>
        </w:rPr>
        <w:t>2</w:t>
      </w:r>
      <w:r w:rsidRPr="00773F59">
        <w:rPr>
          <w:color w:val="000000" w:themeColor="text1"/>
        </w:rPr>
        <w:t xml:space="preserve">. </w:t>
      </w:r>
    </w:p>
    <w:p w:rsidR="00974FE6" w:rsidRPr="00773F59" w:rsidRDefault="00000643" w:rsidP="00773F59">
      <w:pPr>
        <w:widowControl w:val="0"/>
        <w:spacing w:line="480" w:lineRule="auto"/>
        <w:ind w:firstLine="851"/>
        <w:jc w:val="both"/>
        <w:rPr>
          <w:color w:val="000000" w:themeColor="text1"/>
        </w:rPr>
      </w:pPr>
      <w:r w:rsidRPr="00773F59">
        <w:rPr>
          <w:color w:val="000000" w:themeColor="text1"/>
        </w:rPr>
        <w:t>Quando realizada</w:t>
      </w:r>
      <w:r w:rsidR="008C5495">
        <w:rPr>
          <w:color w:val="000000" w:themeColor="text1"/>
        </w:rPr>
        <w:t xml:space="preserve"> </w:t>
      </w:r>
      <w:r w:rsidR="00974FE6" w:rsidRPr="00773F59">
        <w:rPr>
          <w:color w:val="000000" w:themeColor="text1"/>
        </w:rPr>
        <w:t>por vias tradicionais (anterior e posterior) est</w:t>
      </w:r>
      <w:r w:rsidR="00C0395E" w:rsidRPr="00773F59">
        <w:rPr>
          <w:color w:val="000000" w:themeColor="text1"/>
        </w:rPr>
        <w:t>á</w:t>
      </w:r>
      <w:r w:rsidR="00974FE6" w:rsidRPr="00773F59">
        <w:rPr>
          <w:color w:val="000000" w:themeColor="text1"/>
        </w:rPr>
        <w:t xml:space="preserve"> associad</w:t>
      </w:r>
      <w:r w:rsidR="00C0395E" w:rsidRPr="00773F59">
        <w:rPr>
          <w:color w:val="000000" w:themeColor="text1"/>
        </w:rPr>
        <w:t>a</w:t>
      </w:r>
      <w:r w:rsidR="00974FE6" w:rsidRPr="00773F59">
        <w:rPr>
          <w:color w:val="000000" w:themeColor="text1"/>
        </w:rPr>
        <w:t xml:space="preserve"> a diversas complicações, como a pseudartrose, o deslocamento do enxerto, danos diretos a grandes vasos e ao saco dural ou raízes nervosas, disfunção crônica da musculatura paravertebral e síndrome pós-cirúrgica da coluna lombar</w:t>
      </w:r>
      <w:r w:rsidR="00B5052E" w:rsidRPr="00773F59">
        <w:rPr>
          <w:color w:val="000000" w:themeColor="text1"/>
          <w:vertAlign w:val="superscript"/>
        </w:rPr>
        <w:t>3,4</w:t>
      </w:r>
      <w:r w:rsidR="00974FE6" w:rsidRPr="00773F59">
        <w:rPr>
          <w:color w:val="000000" w:themeColor="text1"/>
        </w:rPr>
        <w:t xml:space="preserve">. </w:t>
      </w:r>
    </w:p>
    <w:p w:rsidR="00974FE6" w:rsidRPr="00773F59" w:rsidRDefault="002B4909" w:rsidP="00773F59">
      <w:pPr>
        <w:widowControl w:val="0"/>
        <w:spacing w:line="480" w:lineRule="auto"/>
        <w:ind w:firstLine="851"/>
        <w:jc w:val="both"/>
        <w:rPr>
          <w:color w:val="000000" w:themeColor="text1"/>
        </w:rPr>
      </w:pPr>
      <w:r w:rsidRPr="00773F59">
        <w:rPr>
          <w:color w:val="000000" w:themeColor="text1"/>
        </w:rPr>
        <w:t xml:space="preserve">A partir do ano 2000, </w:t>
      </w:r>
      <w:r w:rsidR="00974FE6" w:rsidRPr="00773F59">
        <w:rPr>
          <w:color w:val="000000" w:themeColor="text1"/>
        </w:rPr>
        <w:t>Pimenta</w:t>
      </w:r>
      <w:r w:rsidR="00B5052E" w:rsidRPr="00773F59">
        <w:rPr>
          <w:color w:val="000000" w:themeColor="text1"/>
          <w:vertAlign w:val="superscript"/>
        </w:rPr>
        <w:t>5</w:t>
      </w:r>
      <w:r w:rsidR="00974FE6" w:rsidRPr="00773F59">
        <w:rPr>
          <w:color w:val="000000" w:themeColor="text1"/>
        </w:rPr>
        <w:t xml:space="preserve"> difundiu o acesso extremo-lateral (XLIF – </w:t>
      </w:r>
      <w:r w:rsidR="00974FE6" w:rsidRPr="00773F59">
        <w:rPr>
          <w:i/>
          <w:color w:val="000000" w:themeColor="text1"/>
        </w:rPr>
        <w:t>extreme lateral interbody</w:t>
      </w:r>
      <w:r w:rsidR="008C5495">
        <w:rPr>
          <w:i/>
          <w:color w:val="000000" w:themeColor="text1"/>
        </w:rPr>
        <w:t xml:space="preserve"> </w:t>
      </w:r>
      <w:r w:rsidR="00974FE6" w:rsidRPr="00773F59">
        <w:rPr>
          <w:i/>
          <w:color w:val="000000" w:themeColor="text1"/>
        </w:rPr>
        <w:t>fusion</w:t>
      </w:r>
      <w:r w:rsidR="00974FE6" w:rsidRPr="00773F59">
        <w:rPr>
          <w:color w:val="000000" w:themeColor="text1"/>
        </w:rPr>
        <w:t>), que se trata de uma técnica minimamente invasiva, através d</w:t>
      </w:r>
      <w:r w:rsidR="00C0395E" w:rsidRPr="00773F59">
        <w:rPr>
          <w:color w:val="000000" w:themeColor="text1"/>
        </w:rPr>
        <w:t>o</w:t>
      </w:r>
      <w:r w:rsidR="00974FE6" w:rsidRPr="00773F59">
        <w:rPr>
          <w:color w:val="000000" w:themeColor="text1"/>
        </w:rPr>
        <w:t xml:space="preserve"> acessolateral</w:t>
      </w:r>
      <w:r w:rsidR="00CE2B81" w:rsidRPr="00773F59">
        <w:rPr>
          <w:color w:val="000000" w:themeColor="text1"/>
        </w:rPr>
        <w:t>, retroperitoneal,</w:t>
      </w:r>
      <w:r w:rsidR="008C5495">
        <w:rPr>
          <w:color w:val="000000" w:themeColor="text1"/>
        </w:rPr>
        <w:t xml:space="preserve"> </w:t>
      </w:r>
      <w:r w:rsidR="00CE2B81" w:rsidRPr="00773F59">
        <w:rPr>
          <w:color w:val="000000" w:themeColor="text1"/>
        </w:rPr>
        <w:t xml:space="preserve">de </w:t>
      </w:r>
      <w:r w:rsidR="00974FE6" w:rsidRPr="00773F59">
        <w:rPr>
          <w:color w:val="000000" w:themeColor="text1"/>
        </w:rPr>
        <w:t xml:space="preserve">pequenas </w:t>
      </w:r>
      <w:r w:rsidR="00CE2B81" w:rsidRPr="00773F59">
        <w:rPr>
          <w:color w:val="000000" w:themeColor="text1"/>
        </w:rPr>
        <w:t>dimensões (</w:t>
      </w:r>
      <w:r w:rsidR="00000643" w:rsidRPr="00773F59">
        <w:rPr>
          <w:color w:val="000000" w:themeColor="text1"/>
        </w:rPr>
        <w:t xml:space="preserve">incisões de </w:t>
      </w:r>
      <w:r w:rsidR="00974FE6" w:rsidRPr="00773F59">
        <w:rPr>
          <w:color w:val="000000" w:themeColor="text1"/>
        </w:rPr>
        <w:t>3</w:t>
      </w:r>
      <w:r w:rsidR="00000643" w:rsidRPr="00773F59">
        <w:rPr>
          <w:color w:val="000000" w:themeColor="text1"/>
        </w:rPr>
        <w:t xml:space="preserve"> a </w:t>
      </w:r>
      <w:r w:rsidR="00974FE6" w:rsidRPr="00773F59">
        <w:rPr>
          <w:color w:val="000000" w:themeColor="text1"/>
        </w:rPr>
        <w:t>4 cm</w:t>
      </w:r>
      <w:r w:rsidR="00CE2B81" w:rsidRPr="00773F59">
        <w:rPr>
          <w:color w:val="000000" w:themeColor="text1"/>
        </w:rPr>
        <w:t>)</w:t>
      </w:r>
      <w:r w:rsidR="00974FE6" w:rsidRPr="00773F59">
        <w:rPr>
          <w:color w:val="000000" w:themeColor="text1"/>
        </w:rPr>
        <w:t>,</w:t>
      </w:r>
      <w:r w:rsidR="008C5495">
        <w:rPr>
          <w:color w:val="000000" w:themeColor="text1"/>
        </w:rPr>
        <w:t xml:space="preserve"> </w:t>
      </w:r>
      <w:r w:rsidR="00CE2B81" w:rsidRPr="00773F59">
        <w:rPr>
          <w:color w:val="000000" w:themeColor="text1"/>
        </w:rPr>
        <w:t>transpsoas</w:t>
      </w:r>
      <w:r w:rsidR="00C0395E" w:rsidRPr="00773F59">
        <w:rPr>
          <w:color w:val="000000" w:themeColor="text1"/>
        </w:rPr>
        <w:t xml:space="preserve">, </w:t>
      </w:r>
      <w:r w:rsidR="00CE2B81" w:rsidRPr="00773F59">
        <w:rPr>
          <w:color w:val="000000" w:themeColor="text1"/>
        </w:rPr>
        <w:t xml:space="preserve">propiciando </w:t>
      </w:r>
      <w:r w:rsidR="00974FE6" w:rsidRPr="00773F59">
        <w:rPr>
          <w:color w:val="000000" w:themeColor="text1"/>
        </w:rPr>
        <w:t>discectomia ampla e fusão entre corpos vertebrais</w:t>
      </w:r>
      <w:r w:rsidR="00B5052E" w:rsidRPr="00773F59">
        <w:rPr>
          <w:color w:val="000000" w:themeColor="text1"/>
          <w:vertAlign w:val="superscript"/>
        </w:rPr>
        <w:t>6</w:t>
      </w:r>
      <w:r w:rsidR="00B5052E" w:rsidRPr="00773F59">
        <w:rPr>
          <w:color w:val="000000" w:themeColor="text1"/>
        </w:rPr>
        <w:t>.</w:t>
      </w:r>
    </w:p>
    <w:p w:rsidR="00974FE6" w:rsidRPr="00773F59" w:rsidRDefault="00974FE6" w:rsidP="00773F59">
      <w:pPr>
        <w:widowControl w:val="0"/>
        <w:spacing w:line="480" w:lineRule="auto"/>
        <w:ind w:firstLine="851"/>
        <w:jc w:val="both"/>
        <w:rPr>
          <w:color w:val="000000" w:themeColor="text1"/>
        </w:rPr>
      </w:pPr>
      <w:r w:rsidRPr="00773F59">
        <w:rPr>
          <w:color w:val="000000" w:themeColor="text1"/>
        </w:rPr>
        <w:t>As principais indicações para o uso da técnica XLIF são as condições degenerativas como espondilolistese, discopatia degenerativa, hérnia de disco</w:t>
      </w:r>
      <w:r w:rsidR="00C0395E" w:rsidRPr="00773F59">
        <w:rPr>
          <w:color w:val="000000" w:themeColor="text1"/>
        </w:rPr>
        <w:t xml:space="preserve">, </w:t>
      </w:r>
      <w:r w:rsidRPr="00773F59">
        <w:rPr>
          <w:color w:val="000000" w:themeColor="text1"/>
        </w:rPr>
        <w:t>cifose pós-laminectomia</w:t>
      </w:r>
      <w:r w:rsidR="002B4909" w:rsidRPr="00773F59">
        <w:rPr>
          <w:color w:val="000000" w:themeColor="text1"/>
        </w:rPr>
        <w:t>,</w:t>
      </w:r>
      <w:r w:rsidRPr="00773F59">
        <w:rPr>
          <w:color w:val="000000" w:themeColor="text1"/>
        </w:rPr>
        <w:t xml:space="preserve"> escoliose degenerativa</w:t>
      </w:r>
      <w:r w:rsidR="002B4909" w:rsidRPr="00773F59">
        <w:rPr>
          <w:color w:val="000000" w:themeColor="text1"/>
        </w:rPr>
        <w:t xml:space="preserve">, sendo uma boa opção para </w:t>
      </w:r>
      <w:r w:rsidRPr="00773F59">
        <w:rPr>
          <w:color w:val="000000" w:themeColor="text1"/>
        </w:rPr>
        <w:t>correção de deformidades no plano sagital e coronal</w:t>
      </w:r>
      <w:r w:rsidR="00B5052E" w:rsidRPr="00773F59">
        <w:rPr>
          <w:color w:val="000000" w:themeColor="text1"/>
          <w:vertAlign w:val="superscript"/>
        </w:rPr>
        <w:t>7</w:t>
      </w:r>
      <w:r w:rsidRPr="00773F59">
        <w:rPr>
          <w:color w:val="000000" w:themeColor="text1"/>
        </w:rPr>
        <w:t xml:space="preserve">. </w:t>
      </w:r>
      <w:r w:rsidR="002B4909" w:rsidRPr="00773F59">
        <w:rPr>
          <w:color w:val="000000" w:themeColor="text1"/>
        </w:rPr>
        <w:t>Mais raramente, há relatos do procedimento para o tratamento de osteomielite ou tumor</w:t>
      </w:r>
      <w:r w:rsidR="00B5052E" w:rsidRPr="00773F59">
        <w:rPr>
          <w:color w:val="000000" w:themeColor="text1"/>
          <w:vertAlign w:val="superscript"/>
        </w:rPr>
        <w:t>8</w:t>
      </w:r>
      <w:r w:rsidR="002B4909" w:rsidRPr="00773F59">
        <w:rPr>
          <w:color w:val="000000" w:themeColor="text1"/>
        </w:rPr>
        <w:t>.</w:t>
      </w:r>
      <w:r w:rsidR="008C5495">
        <w:rPr>
          <w:color w:val="000000" w:themeColor="text1"/>
        </w:rPr>
        <w:t xml:space="preserve"> </w:t>
      </w:r>
      <w:r w:rsidRPr="00773F59">
        <w:rPr>
          <w:color w:val="000000" w:themeColor="text1"/>
        </w:rPr>
        <w:t>Outra indicação para o acesso extremo lateral seria</w:t>
      </w:r>
      <w:r w:rsidR="008C5495">
        <w:rPr>
          <w:color w:val="000000" w:themeColor="text1"/>
        </w:rPr>
        <w:t xml:space="preserve"> </w:t>
      </w:r>
      <w:r w:rsidR="002B4909" w:rsidRPr="00773F59">
        <w:rPr>
          <w:color w:val="000000" w:themeColor="text1"/>
        </w:rPr>
        <w:t>limitações ao</w:t>
      </w:r>
      <w:r w:rsidRPr="00773F59">
        <w:rPr>
          <w:color w:val="000000" w:themeColor="text1"/>
        </w:rPr>
        <w:t xml:space="preserve"> acesso posterior e/ou anterior</w:t>
      </w:r>
      <w:r w:rsidR="008C5495">
        <w:rPr>
          <w:color w:val="000000" w:themeColor="text1"/>
        </w:rPr>
        <w:t xml:space="preserve"> </w:t>
      </w:r>
      <w:r w:rsidRPr="00773F59">
        <w:rPr>
          <w:color w:val="000000" w:themeColor="text1"/>
        </w:rPr>
        <w:t>da coluna vertebral</w:t>
      </w:r>
      <w:r w:rsidR="002B4909" w:rsidRPr="00773F59">
        <w:rPr>
          <w:color w:val="000000" w:themeColor="text1"/>
        </w:rPr>
        <w:t xml:space="preserve">, por exemplo em pacientes obesos, ou </w:t>
      </w:r>
      <w:r w:rsidRPr="00773F59">
        <w:rPr>
          <w:color w:val="000000" w:themeColor="text1"/>
        </w:rPr>
        <w:t>nos casos de pseudoartrose</w:t>
      </w:r>
      <w:r w:rsidR="002B4909" w:rsidRPr="00773F59">
        <w:rPr>
          <w:color w:val="000000" w:themeColor="text1"/>
        </w:rPr>
        <w:t>,</w:t>
      </w:r>
      <w:r w:rsidRPr="00773F59">
        <w:rPr>
          <w:color w:val="000000" w:themeColor="text1"/>
        </w:rPr>
        <w:t xml:space="preserve"> em que a coluna já foi abordada </w:t>
      </w:r>
      <w:r w:rsidR="002B4909" w:rsidRPr="00773F59">
        <w:rPr>
          <w:color w:val="000000" w:themeColor="text1"/>
        </w:rPr>
        <w:t>previamente</w:t>
      </w:r>
      <w:r w:rsidRPr="00773F59">
        <w:rPr>
          <w:color w:val="000000" w:themeColor="text1"/>
        </w:rPr>
        <w:t>por outras vias de acesso</w:t>
      </w:r>
      <w:r w:rsidR="00B5052E" w:rsidRPr="00773F59">
        <w:rPr>
          <w:color w:val="000000" w:themeColor="text1"/>
          <w:vertAlign w:val="superscript"/>
        </w:rPr>
        <w:t>7</w:t>
      </w:r>
      <w:r w:rsidRPr="00773F59">
        <w:rPr>
          <w:color w:val="000000" w:themeColor="text1"/>
        </w:rPr>
        <w:t>.</w:t>
      </w:r>
    </w:p>
    <w:p w:rsidR="007A245D" w:rsidRPr="00773F59" w:rsidRDefault="00974FE6" w:rsidP="00773F59">
      <w:pPr>
        <w:widowControl w:val="0"/>
        <w:spacing w:line="480" w:lineRule="auto"/>
        <w:ind w:firstLine="851"/>
        <w:jc w:val="both"/>
        <w:rPr>
          <w:color w:val="000000"/>
        </w:rPr>
      </w:pPr>
      <w:r w:rsidRPr="00773F59">
        <w:rPr>
          <w:color w:val="000000"/>
        </w:rPr>
        <w:t>A técnica, porém, possui algumas</w:t>
      </w:r>
      <w:r w:rsidR="007A245D" w:rsidRPr="00773F59">
        <w:rPr>
          <w:color w:val="000000"/>
        </w:rPr>
        <w:t xml:space="preserve"> restrições </w:t>
      </w:r>
      <w:r w:rsidR="002B4909" w:rsidRPr="00773F59">
        <w:rPr>
          <w:color w:val="000000"/>
        </w:rPr>
        <w:t xml:space="preserve">e </w:t>
      </w:r>
      <w:r w:rsidRPr="00773F59">
        <w:rPr>
          <w:color w:val="000000"/>
        </w:rPr>
        <w:t xml:space="preserve">desvantagens, não sendo recomendada para abordagem dos níveis L5/S1, devido ao impedimento pelas cristas ilíacas ao acesso lateral. Ademais, em níveis mais caudais, há o percurso mais anterior </w:t>
      </w:r>
      <w:r w:rsidRPr="00773F59">
        <w:rPr>
          <w:color w:val="000000"/>
        </w:rPr>
        <w:lastRenderedPageBreak/>
        <w:t>do plexo lombar e mais lateral dos vasos ilíacos, determinando o potencial risco de lesão dessas estruturas</w:t>
      </w:r>
      <w:r w:rsidR="00000643" w:rsidRPr="00773F59">
        <w:rPr>
          <w:color w:val="000000"/>
          <w:vertAlign w:val="superscript"/>
        </w:rPr>
        <w:t>9,10</w:t>
      </w:r>
      <w:r w:rsidRPr="00773F59">
        <w:rPr>
          <w:color w:val="000000"/>
        </w:rPr>
        <w:t xml:space="preserve">. </w:t>
      </w:r>
      <w:r w:rsidR="007A245D" w:rsidRPr="00773F59">
        <w:rPr>
          <w:color w:val="000000"/>
        </w:rPr>
        <w:t>Entretanto, a monitorização intraoperatória da técnica auxilia na localização, minimizando a ocorrência de potenciais lesões durante o acesso cirúrgic</w:t>
      </w:r>
      <w:r w:rsidR="00000643" w:rsidRPr="00773F59">
        <w:rPr>
          <w:color w:val="000000"/>
        </w:rPr>
        <w:t>o.</w:t>
      </w:r>
    </w:p>
    <w:p w:rsidR="003C47DA" w:rsidRPr="00773F59" w:rsidRDefault="008C5495" w:rsidP="00773F59">
      <w:pPr>
        <w:widowControl w:val="0"/>
        <w:spacing w:line="480" w:lineRule="auto"/>
        <w:ind w:firstLine="851"/>
        <w:jc w:val="both"/>
      </w:pPr>
      <w:r>
        <w:rPr>
          <w:color w:val="000000"/>
        </w:rPr>
        <w:t>A técnica do</w:t>
      </w:r>
      <w:r w:rsidR="00974FE6" w:rsidRPr="00773F59">
        <w:rPr>
          <w:color w:val="000000"/>
        </w:rPr>
        <w:t xml:space="preserve"> XLIF vem se </w:t>
      </w:r>
      <w:r>
        <w:rPr>
          <w:color w:val="000000"/>
        </w:rPr>
        <w:t>difundindo anualmente</w:t>
      </w:r>
      <w:r w:rsidR="00974FE6" w:rsidRPr="00773F59">
        <w:rPr>
          <w:color w:val="000000"/>
        </w:rPr>
        <w:t xml:space="preserve">, </w:t>
      </w:r>
      <w:r w:rsidR="00000643" w:rsidRPr="00773F59">
        <w:rPr>
          <w:color w:val="000000"/>
        </w:rPr>
        <w:t>contudo</w:t>
      </w:r>
      <w:r w:rsidR="00974FE6" w:rsidRPr="00773F59">
        <w:rPr>
          <w:color w:val="000000"/>
        </w:rPr>
        <w:t xml:space="preserve"> a literatura brasileira ainda é escassa sobre a mesma</w:t>
      </w:r>
      <w:r w:rsidR="00974FE6" w:rsidRPr="00773F59">
        <w:rPr>
          <w:color w:val="000000" w:themeColor="text1"/>
        </w:rPr>
        <w:t>.</w:t>
      </w:r>
      <w:r>
        <w:rPr>
          <w:color w:val="000000" w:themeColor="text1"/>
        </w:rPr>
        <w:t xml:space="preserve"> </w:t>
      </w:r>
      <w:r w:rsidR="00EE324E" w:rsidRPr="00773F59">
        <w:t>A crescente experiência com os casos indica</w:t>
      </w:r>
      <w:r w:rsidR="00236A4E" w:rsidRPr="00773F59">
        <w:t xml:space="preserve"> a hipótese de</w:t>
      </w:r>
      <w:r w:rsidR="00EE324E" w:rsidRPr="00773F59">
        <w:t xml:space="preserve"> que uma abordagem extremo lateral minimamente invasiva poderia, de fato, ser uma técnica viável</w:t>
      </w:r>
      <w:r w:rsidR="00236A4E" w:rsidRPr="00773F59">
        <w:t xml:space="preserve"> e </w:t>
      </w:r>
      <w:r w:rsidR="00EE324E" w:rsidRPr="00773F59">
        <w:t>eficaz de tratamento, melhorando a qualidade de vida dos pacientes</w:t>
      </w:r>
      <w:r w:rsidR="00236A4E" w:rsidRPr="00773F59">
        <w:t xml:space="preserve">. </w:t>
      </w:r>
    </w:p>
    <w:p w:rsidR="003C47DA" w:rsidRPr="00773F59" w:rsidRDefault="00974FE6" w:rsidP="00773F59">
      <w:pPr>
        <w:widowControl w:val="0"/>
        <w:spacing w:line="480" w:lineRule="auto"/>
        <w:ind w:firstLine="851"/>
        <w:jc w:val="both"/>
      </w:pPr>
      <w:r w:rsidRPr="00773F59">
        <w:t xml:space="preserve">No presente estudo, exploramos uma série de pacientes submetidos </w:t>
      </w:r>
      <w:r w:rsidR="009A1996">
        <w:t>ao</w:t>
      </w:r>
      <w:r w:rsidRPr="00773F59">
        <w:t xml:space="preserve"> XLIF </w:t>
      </w:r>
      <w:r w:rsidR="003C47DA" w:rsidRPr="00773F59">
        <w:t xml:space="preserve">com o objetivo primário de analisar </w:t>
      </w:r>
      <w:r w:rsidR="00D21669" w:rsidRPr="00773F59">
        <w:rPr>
          <w:color w:val="000000"/>
        </w:rPr>
        <w:t>o impacto na qualidade de vida</w:t>
      </w:r>
      <w:r w:rsidR="00D21669">
        <w:rPr>
          <w:color w:val="000000"/>
        </w:rPr>
        <w:t xml:space="preserve"> e</w:t>
      </w:r>
      <w:r w:rsidR="00D21669" w:rsidRPr="00773F59">
        <w:rPr>
          <w:color w:val="000000"/>
        </w:rPr>
        <w:t xml:space="preserve"> parâmetros de dor</w:t>
      </w:r>
      <w:r w:rsidR="00D21669">
        <w:rPr>
          <w:color w:val="000000"/>
        </w:rPr>
        <w:t xml:space="preserve"> após o procedimento</w:t>
      </w:r>
      <w:r w:rsidR="003C47DA" w:rsidRPr="00773F59">
        <w:t>. Ademais, também foram analisadas as complicações da técnica, a lordose adquirida com o procedimento e os dados demográficos sobre a amostra.</w:t>
      </w:r>
    </w:p>
    <w:p w:rsidR="00CA5044" w:rsidRPr="00773F59" w:rsidRDefault="00E07DB7" w:rsidP="00381EAE">
      <w:pPr>
        <w:widowControl w:val="0"/>
        <w:tabs>
          <w:tab w:val="left" w:pos="2055"/>
        </w:tabs>
        <w:spacing w:line="480" w:lineRule="auto"/>
        <w:jc w:val="both"/>
        <w:rPr>
          <w:color w:val="000000"/>
        </w:rPr>
      </w:pPr>
      <w:r w:rsidRPr="00773F59">
        <w:rPr>
          <w:color w:val="000000"/>
        </w:rPr>
        <w:tab/>
      </w:r>
    </w:p>
    <w:p w:rsidR="00236A4E" w:rsidRPr="00773F59" w:rsidRDefault="00CA5044" w:rsidP="00381EAE">
      <w:pPr>
        <w:pStyle w:val="Ttulo1"/>
        <w:numPr>
          <w:ilvl w:val="0"/>
          <w:numId w:val="0"/>
        </w:numPr>
        <w:spacing w:line="480" w:lineRule="auto"/>
        <w:ind w:left="432" w:hanging="432"/>
        <w:jc w:val="both"/>
        <w:rPr>
          <w:szCs w:val="24"/>
        </w:rPr>
      </w:pPr>
      <w:bookmarkStart w:id="25" w:name="_Toc459201150"/>
      <w:bookmarkStart w:id="26" w:name="_Toc459201253"/>
      <w:bookmarkStart w:id="27" w:name="_Toc459201357"/>
      <w:bookmarkStart w:id="28" w:name="_Toc459201409"/>
      <w:bookmarkStart w:id="29" w:name="_Toc459206577"/>
      <w:bookmarkStart w:id="30" w:name="_Toc64033315"/>
      <w:bookmarkStart w:id="31" w:name="_Toc64898660"/>
      <w:bookmarkStart w:id="32" w:name="_Toc266865634"/>
      <w:r w:rsidRPr="00773F59">
        <w:rPr>
          <w:szCs w:val="24"/>
        </w:rPr>
        <w:t>MATERIAL E MÉTODOS</w:t>
      </w:r>
      <w:bookmarkEnd w:id="25"/>
      <w:bookmarkEnd w:id="26"/>
      <w:bookmarkEnd w:id="27"/>
      <w:bookmarkEnd w:id="28"/>
      <w:bookmarkEnd w:id="29"/>
      <w:bookmarkEnd w:id="30"/>
      <w:bookmarkEnd w:id="31"/>
    </w:p>
    <w:p w:rsidR="00236A4E" w:rsidRPr="00773F59" w:rsidRDefault="00CA5044" w:rsidP="00773F59">
      <w:pPr>
        <w:spacing w:line="480" w:lineRule="auto"/>
        <w:ind w:firstLine="851"/>
        <w:jc w:val="both"/>
        <w:rPr>
          <w:color w:val="000000"/>
        </w:rPr>
      </w:pPr>
      <w:r w:rsidRPr="00773F59">
        <w:rPr>
          <w:color w:val="000000"/>
        </w:rPr>
        <w:t>Trata-se de um estudo longitudinal</w:t>
      </w:r>
      <w:r w:rsidR="00F03DE5" w:rsidRPr="00773F59">
        <w:rPr>
          <w:color w:val="000000"/>
        </w:rPr>
        <w:t>,</w:t>
      </w:r>
      <w:r w:rsidR="009A1996">
        <w:rPr>
          <w:color w:val="000000"/>
        </w:rPr>
        <w:t xml:space="preserve"> </w:t>
      </w:r>
      <w:r w:rsidRPr="00773F59">
        <w:rPr>
          <w:color w:val="000000"/>
        </w:rPr>
        <w:t xml:space="preserve">retrospectivo, em que foram revisados prontuários </w:t>
      </w:r>
      <w:r w:rsidR="00FA0563" w:rsidRPr="00773F59">
        <w:rPr>
          <w:color w:val="000000"/>
        </w:rPr>
        <w:t>de pacientes submetidos a</w:t>
      </w:r>
      <w:r w:rsidRPr="00773F59">
        <w:rPr>
          <w:color w:val="000000"/>
        </w:rPr>
        <w:t xml:space="preserve"> artrodese toracolombar</w:t>
      </w:r>
      <w:r w:rsidR="009A1996">
        <w:rPr>
          <w:color w:val="000000"/>
        </w:rPr>
        <w:t xml:space="preserve"> </w:t>
      </w:r>
      <w:r w:rsidR="00A73EB0" w:rsidRPr="00773F59">
        <w:rPr>
          <w:color w:val="000000"/>
        </w:rPr>
        <w:t xml:space="preserve">pela </w:t>
      </w:r>
      <w:r w:rsidRPr="00773F59">
        <w:rPr>
          <w:color w:val="000000"/>
        </w:rPr>
        <w:t xml:space="preserve">via extremo lateral, realizadas entre 2017 e 2020 </w:t>
      </w:r>
      <w:r w:rsidR="00FA0563" w:rsidRPr="00773F59">
        <w:rPr>
          <w:color w:val="000000"/>
        </w:rPr>
        <w:t>em Hospital terciário refer</w:t>
      </w:r>
      <w:r w:rsidR="00236A4E" w:rsidRPr="00773F59">
        <w:rPr>
          <w:color w:val="000000"/>
        </w:rPr>
        <w:t>ê</w:t>
      </w:r>
      <w:r w:rsidR="00FA0563" w:rsidRPr="00773F59">
        <w:rPr>
          <w:color w:val="000000"/>
        </w:rPr>
        <w:t>ncia ao atendimento de coluna vertebra</w:t>
      </w:r>
      <w:r w:rsidR="00236A4E" w:rsidRPr="00773F59">
        <w:rPr>
          <w:color w:val="000000"/>
        </w:rPr>
        <w:t xml:space="preserve">l, </w:t>
      </w:r>
      <w:r w:rsidRPr="00773F59">
        <w:rPr>
          <w:color w:val="000000"/>
        </w:rPr>
        <w:t>com aprovação do comitê de ética em pesquisa sob número</w:t>
      </w:r>
      <w:r w:rsidR="009A1996">
        <w:rPr>
          <w:color w:val="000000"/>
        </w:rPr>
        <w:t xml:space="preserve"> </w:t>
      </w:r>
      <w:r w:rsidRPr="00773F59">
        <w:rPr>
          <w:color w:val="000000"/>
        </w:rPr>
        <w:t xml:space="preserve">25235519.0.0000.5225. </w:t>
      </w:r>
    </w:p>
    <w:p w:rsidR="00236A4E" w:rsidRPr="00773F59" w:rsidRDefault="00CA5044" w:rsidP="00773F59">
      <w:pPr>
        <w:spacing w:line="480" w:lineRule="auto"/>
        <w:ind w:firstLine="851"/>
        <w:jc w:val="both"/>
        <w:rPr>
          <w:color w:val="000000" w:themeColor="text1"/>
        </w:rPr>
      </w:pPr>
      <w:r w:rsidRPr="00773F59">
        <w:rPr>
          <w:color w:val="000000"/>
        </w:rPr>
        <w:t xml:space="preserve">Foram incluídos pacientes </w:t>
      </w:r>
      <w:r w:rsidR="00236A4E" w:rsidRPr="00773F59">
        <w:rPr>
          <w:color w:val="000000"/>
        </w:rPr>
        <w:t xml:space="preserve">com idade entre 18 e 100 anos, </w:t>
      </w:r>
      <w:r w:rsidRPr="00773F59">
        <w:rPr>
          <w:color w:val="000000"/>
        </w:rPr>
        <w:t>que mantiveram acompanhamento ambulatorial e apresentaram prontuários completos</w:t>
      </w:r>
      <w:r w:rsidR="00E108E5" w:rsidRPr="00773F59">
        <w:rPr>
          <w:color w:val="000000"/>
        </w:rPr>
        <w:t>,</w:t>
      </w:r>
      <w:r w:rsidR="00236A4E" w:rsidRPr="00773F59">
        <w:rPr>
          <w:color w:val="000000"/>
        </w:rPr>
        <w:t xml:space="preserve"> contendo informações para contato, dados epidemiológicos e descrição cirúrgica. Os critérios de inclusão também englobaram necessidade de assinatura do</w:t>
      </w:r>
      <w:r w:rsidRPr="00773F59">
        <w:rPr>
          <w:color w:val="000000"/>
        </w:rPr>
        <w:t xml:space="preserve"> Termo de Consentimento Livre e Esclarecido e o</w:t>
      </w:r>
      <w:r w:rsidR="00236A4E" w:rsidRPr="00773F59">
        <w:rPr>
          <w:color w:val="000000"/>
        </w:rPr>
        <w:t xml:space="preserve"> preenchimento do</w:t>
      </w:r>
      <w:r w:rsidRPr="00773F59">
        <w:rPr>
          <w:color w:val="000000"/>
        </w:rPr>
        <w:t xml:space="preserve">s questionários de avaliação antes do </w:t>
      </w:r>
      <w:r w:rsidRPr="00773F59">
        <w:rPr>
          <w:color w:val="000000"/>
        </w:rPr>
        <w:lastRenderedPageBreak/>
        <w:t xml:space="preserve">procedimento e após um ano da cirurgia. Foram excluídos pacientes operados por outra técnica </w:t>
      </w:r>
      <w:r w:rsidR="00FA0563" w:rsidRPr="00773F59">
        <w:rPr>
          <w:color w:val="000000" w:themeColor="text1"/>
        </w:rPr>
        <w:t>cirúrgica</w:t>
      </w:r>
      <w:r w:rsidR="00236A4E" w:rsidRPr="00773F59">
        <w:rPr>
          <w:color w:val="000000" w:themeColor="text1"/>
        </w:rPr>
        <w:t>, fora da faixa etária</w:t>
      </w:r>
      <w:r w:rsidR="003C47DA" w:rsidRPr="00773F59">
        <w:rPr>
          <w:color w:val="000000" w:themeColor="text1"/>
        </w:rPr>
        <w:t xml:space="preserve">, </w:t>
      </w:r>
      <w:r w:rsidR="00236A4E" w:rsidRPr="00773F59">
        <w:rPr>
          <w:color w:val="000000" w:themeColor="text1"/>
        </w:rPr>
        <w:t>aqueles</w:t>
      </w:r>
      <w:r w:rsidRPr="00773F59">
        <w:rPr>
          <w:color w:val="000000" w:themeColor="text1"/>
        </w:rPr>
        <w:t xml:space="preserve"> com dados incompletos</w:t>
      </w:r>
      <w:r w:rsidR="003C47DA" w:rsidRPr="00773F59">
        <w:rPr>
          <w:color w:val="000000" w:themeColor="text1"/>
        </w:rPr>
        <w:t xml:space="preserve"> ou </w:t>
      </w:r>
      <w:r w:rsidR="00275468" w:rsidRPr="00773F59">
        <w:rPr>
          <w:color w:val="000000" w:themeColor="text1"/>
        </w:rPr>
        <w:t>que perderam</w:t>
      </w:r>
      <w:r w:rsidR="003C47DA" w:rsidRPr="00773F59">
        <w:rPr>
          <w:color w:val="000000" w:themeColor="text1"/>
        </w:rPr>
        <w:t xml:space="preserve"> o</w:t>
      </w:r>
      <w:r w:rsidR="00275468" w:rsidRPr="00773F59">
        <w:rPr>
          <w:color w:val="000000" w:themeColor="text1"/>
        </w:rPr>
        <w:t xml:space="preserve"> seguiment</w:t>
      </w:r>
      <w:r w:rsidR="003C47DA" w:rsidRPr="00773F59">
        <w:rPr>
          <w:color w:val="000000" w:themeColor="text1"/>
        </w:rPr>
        <w:t>o ambulatorial.</w:t>
      </w:r>
    </w:p>
    <w:p w:rsidR="00CA5044" w:rsidRPr="00773F59" w:rsidRDefault="00275468" w:rsidP="00773F59">
      <w:pPr>
        <w:spacing w:line="480" w:lineRule="auto"/>
        <w:ind w:firstLine="851"/>
        <w:jc w:val="both"/>
        <w:rPr>
          <w:color w:val="000000" w:themeColor="text1"/>
        </w:rPr>
      </w:pPr>
      <w:r w:rsidRPr="00773F59">
        <w:rPr>
          <w:color w:val="000000" w:themeColor="text1"/>
        </w:rPr>
        <w:t>Foram revisados os</w:t>
      </w:r>
      <w:r w:rsidR="00CA5044" w:rsidRPr="00773F59">
        <w:rPr>
          <w:color w:val="000000" w:themeColor="text1"/>
        </w:rPr>
        <w:t xml:space="preserve"> prontuários </w:t>
      </w:r>
      <w:r w:rsidRPr="00773F59">
        <w:rPr>
          <w:color w:val="000000" w:themeColor="text1"/>
        </w:rPr>
        <w:t>médicos</w:t>
      </w:r>
      <w:r w:rsidR="009A1996">
        <w:rPr>
          <w:color w:val="000000" w:themeColor="text1"/>
        </w:rPr>
        <w:t xml:space="preserve"> </w:t>
      </w:r>
      <w:r w:rsidR="00CA5044" w:rsidRPr="00773F59">
        <w:rPr>
          <w:color w:val="000000" w:themeColor="text1"/>
        </w:rPr>
        <w:t xml:space="preserve">para </w:t>
      </w:r>
      <w:r w:rsidR="003C47DA" w:rsidRPr="00773F59">
        <w:rPr>
          <w:color w:val="000000" w:themeColor="text1"/>
        </w:rPr>
        <w:t>registro</w:t>
      </w:r>
      <w:r w:rsidR="009A1996">
        <w:rPr>
          <w:color w:val="000000" w:themeColor="text1"/>
        </w:rPr>
        <w:t xml:space="preserve"> </w:t>
      </w:r>
      <w:r w:rsidR="003C47DA" w:rsidRPr="00773F59">
        <w:rPr>
          <w:color w:val="000000" w:themeColor="text1"/>
        </w:rPr>
        <w:t>d</w:t>
      </w:r>
      <w:r w:rsidR="00CA5044" w:rsidRPr="00773F59">
        <w:rPr>
          <w:color w:val="000000" w:themeColor="text1"/>
        </w:rPr>
        <w:t xml:space="preserve">os dados demográficos, avaliando variáveis como sexo, idade, patologia </w:t>
      </w:r>
      <w:r w:rsidR="00CA5044" w:rsidRPr="00773F59">
        <w:rPr>
          <w:color w:val="000000"/>
        </w:rPr>
        <w:t>de base, níveis abordados, relatos de complicações e técnica cirúrgica.</w:t>
      </w:r>
      <w:r w:rsidR="009A1996">
        <w:rPr>
          <w:color w:val="000000"/>
        </w:rPr>
        <w:t xml:space="preserve"> </w:t>
      </w:r>
      <w:r w:rsidR="00CA5044" w:rsidRPr="00773F59">
        <w:rPr>
          <w:color w:val="000000"/>
        </w:rPr>
        <w:t>As</w:t>
      </w:r>
      <w:r w:rsidR="009A1996">
        <w:rPr>
          <w:color w:val="000000"/>
        </w:rPr>
        <w:t xml:space="preserve"> </w:t>
      </w:r>
      <w:r w:rsidR="00CA5044" w:rsidRPr="00773F59">
        <w:rPr>
          <w:color w:val="000000"/>
        </w:rPr>
        <w:t>características clínicas foram avaliadas através de parâmetros como a intens</w:t>
      </w:r>
      <w:r w:rsidR="00236A4E" w:rsidRPr="00773F59">
        <w:rPr>
          <w:color w:val="000000"/>
        </w:rPr>
        <w:t>id</w:t>
      </w:r>
      <w:r w:rsidR="00CA5044" w:rsidRPr="00773F59">
        <w:rPr>
          <w:color w:val="000000"/>
        </w:rPr>
        <w:t>ade da dor pela Escala Visual Analógica da dor (EVA)</w:t>
      </w:r>
      <w:r w:rsidR="009A1996">
        <w:rPr>
          <w:color w:val="000000"/>
        </w:rPr>
        <w:t xml:space="preserve"> </w:t>
      </w:r>
      <w:r w:rsidR="00CA5044" w:rsidRPr="00773F59">
        <w:rPr>
          <w:color w:val="000000"/>
        </w:rPr>
        <w:t xml:space="preserve">e o índice de incapacidade pelo </w:t>
      </w:r>
      <w:r w:rsidR="00CA5044" w:rsidRPr="00773F59">
        <w:rPr>
          <w:i/>
          <w:color w:val="000000"/>
        </w:rPr>
        <w:t>Oswestry</w:t>
      </w:r>
      <w:r w:rsidR="009A1996">
        <w:rPr>
          <w:i/>
          <w:color w:val="000000"/>
        </w:rPr>
        <w:t xml:space="preserve"> </w:t>
      </w:r>
      <w:r w:rsidR="00CA5044" w:rsidRPr="00773F59">
        <w:rPr>
          <w:i/>
          <w:color w:val="000000"/>
        </w:rPr>
        <w:t>Disability Index</w:t>
      </w:r>
      <w:r w:rsidR="00CA5044" w:rsidRPr="00773F59">
        <w:rPr>
          <w:color w:val="000000"/>
        </w:rPr>
        <w:t xml:space="preserve"> (ODI</w:t>
      </w:r>
      <w:r w:rsidR="00CA5044" w:rsidRPr="00773F59">
        <w:rPr>
          <w:color w:val="000000" w:themeColor="text1"/>
        </w:rPr>
        <w:t>)</w:t>
      </w:r>
      <w:r w:rsidRPr="00773F59">
        <w:rPr>
          <w:color w:val="000000" w:themeColor="text1"/>
        </w:rPr>
        <w:t xml:space="preserve"> antes e após </w:t>
      </w:r>
      <w:r w:rsidR="003C47DA" w:rsidRPr="00773F59">
        <w:rPr>
          <w:color w:val="000000" w:themeColor="text1"/>
        </w:rPr>
        <w:t>1</w:t>
      </w:r>
      <w:r w:rsidRPr="00773F59">
        <w:rPr>
          <w:color w:val="000000" w:themeColor="text1"/>
        </w:rPr>
        <w:t xml:space="preserve"> ano do procedimento</w:t>
      </w:r>
      <w:r w:rsidR="003C47DA" w:rsidRPr="00773F59">
        <w:rPr>
          <w:color w:val="000000" w:themeColor="text1"/>
        </w:rPr>
        <w:t>.</w:t>
      </w:r>
    </w:p>
    <w:p w:rsidR="00236A4E" w:rsidRPr="00773F59" w:rsidRDefault="00CA5044" w:rsidP="00773F59">
      <w:pPr>
        <w:tabs>
          <w:tab w:val="num" w:pos="720"/>
          <w:tab w:val="left" w:leader="dot" w:pos="8647"/>
        </w:tabs>
        <w:snapToGrid w:val="0"/>
        <w:spacing w:line="480" w:lineRule="auto"/>
        <w:ind w:right="-7" w:firstLine="851"/>
        <w:jc w:val="both"/>
        <w:rPr>
          <w:color w:val="00B050"/>
        </w:rPr>
      </w:pPr>
      <w:r w:rsidRPr="00773F59">
        <w:rPr>
          <w:color w:val="000000"/>
        </w:rPr>
        <w:t xml:space="preserve">Efetuou-se a avaliação </w:t>
      </w:r>
      <w:r w:rsidRPr="00773F59">
        <w:rPr>
          <w:color w:val="000000" w:themeColor="text1"/>
        </w:rPr>
        <w:t xml:space="preserve">radiográfica </w:t>
      </w:r>
      <w:r w:rsidR="003C47DA" w:rsidRPr="00773F59">
        <w:rPr>
          <w:color w:val="000000" w:themeColor="text1"/>
        </w:rPr>
        <w:t>do segmento toracolombar</w:t>
      </w:r>
      <w:r w:rsidR="009A1996">
        <w:rPr>
          <w:color w:val="000000" w:themeColor="text1"/>
        </w:rPr>
        <w:t xml:space="preserve"> </w:t>
      </w:r>
      <w:r w:rsidRPr="00773F59">
        <w:rPr>
          <w:color w:val="000000"/>
        </w:rPr>
        <w:t xml:space="preserve">antes da cirurgia e 12 meses após, através de radiografias nas incidências anteroposterior e perfil, com o paciente na posição ortostática, distribuindo o peso igualmente em ambos os pés, com </w:t>
      </w:r>
      <w:r w:rsidR="009A1996">
        <w:rPr>
          <w:color w:val="000000"/>
        </w:rPr>
        <w:t xml:space="preserve">a incidência do </w:t>
      </w:r>
      <w:r w:rsidRPr="00773F59">
        <w:rPr>
          <w:color w:val="000000"/>
        </w:rPr>
        <w:t>raio</w:t>
      </w:r>
      <w:r w:rsidR="009A1996">
        <w:rPr>
          <w:color w:val="000000"/>
        </w:rPr>
        <w:t>-x</w:t>
      </w:r>
      <w:r w:rsidRPr="00773F59">
        <w:rPr>
          <w:color w:val="000000"/>
        </w:rPr>
        <w:t xml:space="preserve"> central perpendicular e direcionado para o ponto médio do filme, e distância foco-filme de 100 a 150 cm.</w:t>
      </w:r>
    </w:p>
    <w:p w:rsidR="00CA5044" w:rsidRPr="00773F59" w:rsidRDefault="00CA5044" w:rsidP="00773F59">
      <w:pPr>
        <w:tabs>
          <w:tab w:val="num" w:pos="720"/>
          <w:tab w:val="left" w:leader="dot" w:pos="8647"/>
        </w:tabs>
        <w:snapToGrid w:val="0"/>
        <w:spacing w:line="480" w:lineRule="auto"/>
        <w:ind w:right="-7" w:firstLine="851"/>
        <w:jc w:val="both"/>
        <w:rPr>
          <w:color w:val="000000"/>
        </w:rPr>
      </w:pPr>
      <w:r w:rsidRPr="00773F59">
        <w:rPr>
          <w:color w:val="000000"/>
        </w:rPr>
        <w:t>O</w:t>
      </w:r>
      <w:r w:rsidR="009A1996">
        <w:rPr>
          <w:color w:val="000000"/>
        </w:rPr>
        <w:t xml:space="preserve"> parâmetro radiológico</w:t>
      </w:r>
      <w:r w:rsidRPr="00773F59">
        <w:rPr>
          <w:color w:val="000000"/>
        </w:rPr>
        <w:t xml:space="preserve"> para </w:t>
      </w:r>
      <w:r w:rsidRPr="00773F59">
        <w:rPr>
          <w:color w:val="000000" w:themeColor="text1"/>
        </w:rPr>
        <w:t xml:space="preserve">avaliação da </w:t>
      </w:r>
      <w:r w:rsidR="009A1996">
        <w:rPr>
          <w:color w:val="000000" w:themeColor="text1"/>
        </w:rPr>
        <w:t xml:space="preserve">lordose </w:t>
      </w:r>
      <w:r w:rsidR="009A1996">
        <w:rPr>
          <w:color w:val="000000"/>
        </w:rPr>
        <w:t>foi</w:t>
      </w:r>
      <w:r w:rsidRPr="00773F59">
        <w:rPr>
          <w:color w:val="000000"/>
        </w:rPr>
        <w:t xml:space="preserve"> a medida do ângulo de Cobb, o qual é formado entre uma linha traçada em paralelo ao platô superior de L1 e o platô superior de S1, considerando-se ângulos de 30° a 79° como variação normal</w:t>
      </w:r>
      <w:r w:rsidR="00C35D21" w:rsidRPr="00773F59">
        <w:rPr>
          <w:color w:val="000000"/>
          <w:vertAlign w:val="superscript"/>
        </w:rPr>
        <w:t>11</w:t>
      </w:r>
      <w:r w:rsidRPr="00773F59">
        <w:rPr>
          <w:color w:val="000000"/>
        </w:rPr>
        <w:t xml:space="preserve">. Complicações como migração </w:t>
      </w:r>
      <w:r w:rsidR="000A202D" w:rsidRPr="00773F59">
        <w:rPr>
          <w:color w:val="000000"/>
        </w:rPr>
        <w:t>(</w:t>
      </w:r>
      <w:r w:rsidRPr="00773F59">
        <w:rPr>
          <w:color w:val="000000" w:themeColor="text1"/>
        </w:rPr>
        <w:t>lateral</w:t>
      </w:r>
      <w:r w:rsidR="000A202D" w:rsidRPr="00773F59">
        <w:rPr>
          <w:color w:val="000000" w:themeColor="text1"/>
        </w:rPr>
        <w:t>, anterior e posterior)</w:t>
      </w:r>
      <w:r w:rsidRPr="00773F59">
        <w:rPr>
          <w:color w:val="000000"/>
        </w:rPr>
        <w:t xml:space="preserve"> do </w:t>
      </w:r>
      <w:r w:rsidR="009A1996" w:rsidRPr="009A1996">
        <w:rPr>
          <w:iCs/>
          <w:color w:val="000000"/>
        </w:rPr>
        <w:t>implante</w:t>
      </w:r>
      <w:r w:rsidRPr="009A1996">
        <w:rPr>
          <w:color w:val="000000"/>
        </w:rPr>
        <w:t xml:space="preserve"> e </w:t>
      </w:r>
      <w:r w:rsidR="009A1996" w:rsidRPr="009A1996">
        <w:rPr>
          <w:iCs/>
          <w:color w:val="000000"/>
        </w:rPr>
        <w:t>subsidência</w:t>
      </w:r>
      <w:r w:rsidR="009A1996">
        <w:rPr>
          <w:i/>
          <w:iCs/>
          <w:color w:val="000000"/>
        </w:rPr>
        <w:t xml:space="preserve"> </w:t>
      </w:r>
      <w:r w:rsidRPr="00773F59">
        <w:rPr>
          <w:color w:val="000000"/>
        </w:rPr>
        <w:t>também foram avaliadas radiograficamente.</w:t>
      </w:r>
      <w:r w:rsidR="009A1996">
        <w:rPr>
          <w:color w:val="000000"/>
        </w:rPr>
        <w:t xml:space="preserve"> Em todos os casos foram feitas tomografias computadorizadas com cortes de 2mm após 12 meses do procedimento para confirmar a ocorrência da fusão vertebral nos níveis operados.</w:t>
      </w:r>
    </w:p>
    <w:p w:rsidR="00195729" w:rsidRPr="00195729" w:rsidRDefault="00CA5044" w:rsidP="00195729">
      <w:pPr>
        <w:spacing w:line="480" w:lineRule="auto"/>
        <w:ind w:firstLine="851"/>
        <w:jc w:val="both"/>
        <w:rPr>
          <w:color w:val="000000" w:themeColor="text1"/>
        </w:rPr>
      </w:pPr>
      <w:r w:rsidRPr="00773F59">
        <w:rPr>
          <w:color w:val="000000" w:themeColor="text1"/>
        </w:rPr>
        <w:t>Todas as cirurgias foram realizadas por um único cirurgião de coluna, com tempo de experiência</w:t>
      </w:r>
      <w:r w:rsidR="00236A4E" w:rsidRPr="00773F59">
        <w:rPr>
          <w:color w:val="000000" w:themeColor="text1"/>
        </w:rPr>
        <w:t xml:space="preserve"> total</w:t>
      </w:r>
      <w:r w:rsidRPr="00773F59">
        <w:rPr>
          <w:color w:val="000000" w:themeColor="text1"/>
        </w:rPr>
        <w:t xml:space="preserve"> na técnica XLIF de </w:t>
      </w:r>
      <w:r w:rsidR="00236A4E" w:rsidRPr="00773F59">
        <w:rPr>
          <w:color w:val="000000" w:themeColor="text1"/>
        </w:rPr>
        <w:t>4</w:t>
      </w:r>
      <w:r w:rsidR="00EE324E" w:rsidRPr="00773F59">
        <w:rPr>
          <w:color w:val="000000" w:themeColor="text1"/>
        </w:rPr>
        <w:t xml:space="preserve"> anos previamente ao início do estudo</w:t>
      </w:r>
      <w:r w:rsidRPr="00773F59">
        <w:rPr>
          <w:color w:val="000000" w:themeColor="text1"/>
        </w:rPr>
        <w:t xml:space="preserve">. </w:t>
      </w:r>
      <w:r w:rsidRPr="00773F59">
        <w:rPr>
          <w:color w:val="000000"/>
        </w:rPr>
        <w:t>O procedimento cirúrgico foi realizado por apenas um acesso</w:t>
      </w:r>
      <w:r w:rsidR="00236A4E" w:rsidRPr="00773F59">
        <w:rPr>
          <w:color w:val="000000"/>
        </w:rPr>
        <w:t xml:space="preserve"> (Figura 1)</w:t>
      </w:r>
      <w:r w:rsidRPr="00773F59">
        <w:rPr>
          <w:color w:val="000000"/>
        </w:rPr>
        <w:t xml:space="preserve"> retroperitoneal lateral minimamente invasivo (modificação da </w:t>
      </w:r>
      <w:r w:rsidRPr="00773F59">
        <w:rPr>
          <w:color w:val="000000" w:themeColor="text1"/>
        </w:rPr>
        <w:t>técnica original de Pimenta</w:t>
      </w:r>
      <w:r w:rsidR="003C47DA" w:rsidRPr="00773F59">
        <w:rPr>
          <w:color w:val="000000" w:themeColor="text1"/>
          <w:vertAlign w:val="superscript"/>
        </w:rPr>
        <w:t>5</w:t>
      </w:r>
      <w:r w:rsidRPr="00773F59">
        <w:rPr>
          <w:color w:val="000000" w:themeColor="text1"/>
        </w:rPr>
        <w:t xml:space="preserve">), com </w:t>
      </w:r>
      <w:r w:rsidRPr="00773F59">
        <w:rPr>
          <w:color w:val="000000" w:themeColor="text1"/>
        </w:rPr>
        <w:lastRenderedPageBreak/>
        <w:t>constante monitorização eletromiográfica (Neurovision JJB NuVasive</w:t>
      </w:r>
      <w:r w:rsidR="00236A4E" w:rsidRPr="00773F59">
        <w:rPr>
          <w:color w:val="000000" w:themeColor="text1"/>
          <w:vertAlign w:val="superscript"/>
        </w:rPr>
        <w:t>®</w:t>
      </w:r>
      <w:r w:rsidRPr="00773F59">
        <w:rPr>
          <w:color w:val="000000" w:themeColor="text1"/>
        </w:rPr>
        <w:t xml:space="preserve">, RJ, Brasil) </w:t>
      </w:r>
      <w:r w:rsidR="003C47DA" w:rsidRPr="00773F59">
        <w:t xml:space="preserve">e </w:t>
      </w:r>
      <w:r w:rsidR="00EE324E" w:rsidRPr="00773F59">
        <w:rPr>
          <w:color w:val="000000" w:themeColor="text1"/>
        </w:rPr>
        <w:t>foram utilizados implantes de</w:t>
      </w:r>
      <w:r w:rsidR="008F542F" w:rsidRPr="00773F59">
        <w:rPr>
          <w:color w:val="000000" w:themeColor="text1"/>
        </w:rPr>
        <w:t xml:space="preserve"> 10 graus</w:t>
      </w:r>
      <w:r w:rsidR="00EE324E" w:rsidRPr="00773F59">
        <w:rPr>
          <w:color w:val="000000"/>
        </w:rPr>
        <w:t xml:space="preserve"> de lordose </w:t>
      </w:r>
      <w:r w:rsidR="00EE324E" w:rsidRPr="00773F59">
        <w:rPr>
          <w:i/>
          <w:iCs/>
          <w:color w:val="000000"/>
        </w:rPr>
        <w:t>peek</w:t>
      </w:r>
      <w:r w:rsidR="00EE324E" w:rsidRPr="00773F59">
        <w:rPr>
          <w:color w:val="000000"/>
        </w:rPr>
        <w:t xml:space="preserve"> (poli-éter-éter-cetona) </w:t>
      </w:r>
      <w:r w:rsidR="00EE324E" w:rsidRPr="00773F59">
        <w:rPr>
          <w:color w:val="000000" w:themeColor="text1"/>
        </w:rPr>
        <w:t>(CoRoent XL NuVasive</w:t>
      </w:r>
      <w:r w:rsidR="00236A4E" w:rsidRPr="00773F59">
        <w:rPr>
          <w:color w:val="000000" w:themeColor="text1"/>
          <w:vertAlign w:val="superscript"/>
        </w:rPr>
        <w:t>®</w:t>
      </w:r>
      <w:r w:rsidR="00EE324E" w:rsidRPr="00773F59">
        <w:rPr>
          <w:color w:val="000000" w:themeColor="text1"/>
        </w:rPr>
        <w:t>, RJ, Brasil).</w:t>
      </w:r>
      <w:r w:rsidR="00A64419" w:rsidRPr="00773F59">
        <w:rPr>
          <w:color w:val="000000" w:themeColor="text1"/>
        </w:rPr>
        <w:t xml:space="preserve"> Foi optado por suplementação posterior</w:t>
      </w:r>
      <w:r w:rsidR="009A1996">
        <w:rPr>
          <w:color w:val="000000" w:themeColor="text1"/>
        </w:rPr>
        <w:t xml:space="preserve"> com parafusos pediculares apenas nos casos que apresentavam espondilolistese nas radiográficas dinâmicas pré-operatórias.</w:t>
      </w:r>
      <w:r w:rsidR="00A64419" w:rsidRPr="00773F59">
        <w:rPr>
          <w:color w:val="000000" w:themeColor="text1"/>
        </w:rPr>
        <w:t xml:space="preserve"> </w:t>
      </w:r>
    </w:p>
    <w:p w:rsidR="00236A4E" w:rsidRPr="00773F59" w:rsidRDefault="00195729" w:rsidP="00773F59">
      <w:pPr>
        <w:spacing w:line="480" w:lineRule="auto"/>
        <w:jc w:val="both"/>
        <w:rPr>
          <w:color w:val="00B0F0"/>
        </w:rPr>
      </w:pPr>
      <w:r w:rsidRPr="00773F59">
        <w:rPr>
          <w:color w:val="000000"/>
        </w:rPr>
        <w:t xml:space="preserve">FIGURA 1 – EXEMPLO DE </w:t>
      </w:r>
      <w:r w:rsidR="00B91BB8">
        <w:rPr>
          <w:color w:val="000000"/>
        </w:rPr>
        <w:t xml:space="preserve">INCISÃO PARA </w:t>
      </w:r>
      <w:r w:rsidRPr="00773F59">
        <w:rPr>
          <w:color w:val="000000"/>
        </w:rPr>
        <w:t>ACESSO RETROPERITONEAL LATERAL ÚNICO MINIMAMENTE INVASIVO.</w:t>
      </w:r>
    </w:p>
    <w:p w:rsidR="005D7D33" w:rsidRPr="00381EAE" w:rsidRDefault="00241255" w:rsidP="00381EAE">
      <w:pPr>
        <w:spacing w:line="480" w:lineRule="auto"/>
        <w:ind w:firstLine="851"/>
        <w:jc w:val="center"/>
        <w:rPr>
          <w:color w:val="000000"/>
        </w:rPr>
      </w:pPr>
      <w:r>
        <w:rPr>
          <w:noProof/>
          <w:color w:val="000000"/>
        </w:rPr>
        <w:drawing>
          <wp:inline distT="0" distB="0" distL="0" distR="0">
            <wp:extent cx="1967196" cy="1616872"/>
            <wp:effectExtent l="0" t="0" r="1905" b="0"/>
            <wp:docPr id="4" name="Imagem 4" descr="Uma imagem contendo no interior, pessoa, escova de dentes, olha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no interior, pessoa, escova de dentes, olhando&#10;&#10;Descrição gerada automaticament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2401" cy="1645807"/>
                    </a:xfrm>
                    <a:prstGeom prst="rect">
                      <a:avLst/>
                    </a:prstGeom>
                  </pic:spPr>
                </pic:pic>
              </a:graphicData>
            </a:graphic>
          </wp:inline>
        </w:drawing>
      </w:r>
    </w:p>
    <w:p w:rsidR="00CA5044" w:rsidRPr="00773F59" w:rsidRDefault="00236A4E" w:rsidP="00773F59">
      <w:pPr>
        <w:tabs>
          <w:tab w:val="left" w:leader="dot" w:pos="8647"/>
        </w:tabs>
        <w:snapToGrid w:val="0"/>
        <w:spacing w:line="480" w:lineRule="auto"/>
        <w:ind w:right="-7" w:firstLine="851"/>
        <w:jc w:val="both"/>
        <w:rPr>
          <w:bCs/>
          <w:color w:val="000000"/>
        </w:rPr>
      </w:pPr>
      <w:r w:rsidRPr="00773F59">
        <w:rPr>
          <w:bCs/>
          <w:color w:val="000000"/>
        </w:rPr>
        <w:t>Na análise estatística p</w:t>
      </w:r>
      <w:r w:rsidR="00CA5044" w:rsidRPr="00773F59">
        <w:rPr>
          <w:bCs/>
          <w:color w:val="000000"/>
        </w:rPr>
        <w:t xml:space="preserve">ara </w:t>
      </w:r>
      <w:r w:rsidRPr="00773F59">
        <w:rPr>
          <w:bCs/>
          <w:color w:val="000000"/>
        </w:rPr>
        <w:t>variáveis</w:t>
      </w:r>
      <w:r w:rsidR="00CA5044" w:rsidRPr="00773F59">
        <w:rPr>
          <w:bCs/>
          <w:color w:val="000000"/>
        </w:rPr>
        <w:t xml:space="preserve"> quantitativas, a normalidade foi avaliada </w:t>
      </w:r>
      <w:r w:rsidRPr="00773F59">
        <w:rPr>
          <w:bCs/>
          <w:color w:val="000000"/>
        </w:rPr>
        <w:t>através</w:t>
      </w:r>
      <w:r w:rsidR="00CA5044" w:rsidRPr="00773F59">
        <w:rPr>
          <w:bCs/>
          <w:color w:val="000000"/>
        </w:rPr>
        <w:t xml:space="preserve"> do teste de Shapiro-Wilk. </w:t>
      </w:r>
      <w:r w:rsidRPr="00773F59">
        <w:rPr>
          <w:bCs/>
          <w:color w:val="000000"/>
        </w:rPr>
        <w:t>Variáveis</w:t>
      </w:r>
      <w:r w:rsidR="00CA5044" w:rsidRPr="00773F59">
        <w:rPr>
          <w:bCs/>
          <w:color w:val="000000"/>
        </w:rPr>
        <w:t xml:space="preserve"> quantitativas foram representadas por média e desvio padrão ou mediana e intervalo interquartil (primeiro quartil; terceiro quartil), e </w:t>
      </w:r>
      <w:r w:rsidRPr="00773F59">
        <w:rPr>
          <w:bCs/>
          <w:color w:val="000000"/>
        </w:rPr>
        <w:t>variáveis</w:t>
      </w:r>
      <w:r w:rsidR="00CA5044" w:rsidRPr="00773F59">
        <w:rPr>
          <w:bCs/>
          <w:color w:val="000000"/>
        </w:rPr>
        <w:t xml:space="preserve"> qualitativas foram representadas pelas </w:t>
      </w:r>
      <w:r w:rsidRPr="00773F59">
        <w:rPr>
          <w:bCs/>
          <w:color w:val="000000"/>
        </w:rPr>
        <w:t>frequências</w:t>
      </w:r>
      <w:r w:rsidR="00CA5044" w:rsidRPr="00773F59">
        <w:rPr>
          <w:bCs/>
          <w:color w:val="000000"/>
        </w:rPr>
        <w:t xml:space="preserve"> absolutas e relativas. Todas as </w:t>
      </w:r>
      <w:r w:rsidRPr="00773F59">
        <w:rPr>
          <w:bCs/>
          <w:color w:val="000000"/>
        </w:rPr>
        <w:t>análises</w:t>
      </w:r>
      <w:r w:rsidR="00CA5044" w:rsidRPr="00773F59">
        <w:rPr>
          <w:bCs/>
          <w:color w:val="000000"/>
        </w:rPr>
        <w:t xml:space="preserve"> foram realizadas utilizando o software SPSS (versão 21.0) e considerando o </w:t>
      </w:r>
      <w:r w:rsidRPr="00773F59">
        <w:rPr>
          <w:bCs/>
          <w:color w:val="000000"/>
        </w:rPr>
        <w:t>nível</w:t>
      </w:r>
      <w:r w:rsidR="00CA5044" w:rsidRPr="00773F59">
        <w:rPr>
          <w:bCs/>
          <w:color w:val="000000"/>
        </w:rPr>
        <w:t xml:space="preserve"> de </w:t>
      </w:r>
      <w:r w:rsidRPr="00773F59">
        <w:rPr>
          <w:bCs/>
          <w:color w:val="000000"/>
        </w:rPr>
        <w:t>significância</w:t>
      </w:r>
      <w:r w:rsidR="00CA5044" w:rsidRPr="00773F59">
        <w:rPr>
          <w:bCs/>
          <w:color w:val="000000"/>
        </w:rPr>
        <w:t xml:space="preserve"> de 5%. </w:t>
      </w:r>
    </w:p>
    <w:p w:rsidR="00381EAE" w:rsidRDefault="00CA5044" w:rsidP="00381EAE">
      <w:pPr>
        <w:tabs>
          <w:tab w:val="left" w:leader="dot" w:pos="8647"/>
        </w:tabs>
        <w:snapToGrid w:val="0"/>
        <w:spacing w:line="480" w:lineRule="auto"/>
        <w:ind w:right="-7" w:firstLine="567"/>
        <w:jc w:val="both"/>
        <w:rPr>
          <w:color w:val="000000"/>
        </w:rPr>
      </w:pPr>
      <w:r w:rsidRPr="00773F59">
        <w:rPr>
          <w:color w:val="000000"/>
        </w:rPr>
        <w:t xml:space="preserve">A </w:t>
      </w:r>
      <w:r w:rsidR="00236A4E" w:rsidRPr="00773F59">
        <w:rPr>
          <w:color w:val="000000"/>
        </w:rPr>
        <w:t>comparação</w:t>
      </w:r>
      <w:r w:rsidRPr="00773F59">
        <w:rPr>
          <w:color w:val="000000"/>
        </w:rPr>
        <w:t xml:space="preserve"> dos dois momentos (pr</w:t>
      </w:r>
      <w:r w:rsidR="00236A4E" w:rsidRPr="00773F59">
        <w:rPr>
          <w:color w:val="000000"/>
        </w:rPr>
        <w:t>é</w:t>
      </w:r>
      <w:r w:rsidRPr="00773F59">
        <w:rPr>
          <w:color w:val="000000"/>
        </w:rPr>
        <w:t xml:space="preserve"> e pós operatório) foi realizada pelo teste t-student para amostras pareadas ou de Wilcoxon. A associação entre as variáveis foi avaliada pelos coeficientes de correlação de Pearson ou Spearman.</w:t>
      </w:r>
      <w:bookmarkStart w:id="33" w:name="_Toc459201151"/>
      <w:bookmarkStart w:id="34" w:name="_Toc459201254"/>
      <w:bookmarkStart w:id="35" w:name="_Toc459201358"/>
      <w:bookmarkStart w:id="36" w:name="_Toc459201410"/>
      <w:bookmarkStart w:id="37" w:name="_Toc459206578"/>
      <w:bookmarkStart w:id="38" w:name="_Toc64033316"/>
      <w:bookmarkStart w:id="39" w:name="_Toc64898665"/>
    </w:p>
    <w:p w:rsidR="00381EAE" w:rsidRDefault="00381EAE" w:rsidP="00381EAE">
      <w:pPr>
        <w:tabs>
          <w:tab w:val="left" w:leader="dot" w:pos="8647"/>
        </w:tabs>
        <w:snapToGrid w:val="0"/>
        <w:spacing w:line="480" w:lineRule="auto"/>
        <w:ind w:right="-7"/>
        <w:jc w:val="both"/>
        <w:rPr>
          <w:color w:val="000000"/>
        </w:rPr>
      </w:pPr>
    </w:p>
    <w:p w:rsidR="00195729" w:rsidRDefault="00CA5044" w:rsidP="00195729">
      <w:pPr>
        <w:tabs>
          <w:tab w:val="left" w:leader="dot" w:pos="8647"/>
        </w:tabs>
        <w:snapToGrid w:val="0"/>
        <w:spacing w:line="480" w:lineRule="auto"/>
        <w:ind w:right="-7"/>
        <w:jc w:val="both"/>
        <w:rPr>
          <w:b/>
          <w:bCs/>
        </w:rPr>
      </w:pPr>
      <w:r w:rsidRPr="00381EAE">
        <w:rPr>
          <w:b/>
          <w:bCs/>
        </w:rPr>
        <w:t>RESULTADOS</w:t>
      </w:r>
      <w:bookmarkEnd w:id="32"/>
      <w:bookmarkEnd w:id="33"/>
      <w:bookmarkEnd w:id="34"/>
      <w:bookmarkEnd w:id="35"/>
      <w:bookmarkEnd w:id="36"/>
      <w:bookmarkEnd w:id="37"/>
      <w:bookmarkEnd w:id="38"/>
      <w:bookmarkEnd w:id="39"/>
    </w:p>
    <w:p w:rsidR="00CA5044" w:rsidRPr="00195729" w:rsidRDefault="00CA5044" w:rsidP="00195729">
      <w:pPr>
        <w:tabs>
          <w:tab w:val="left" w:leader="dot" w:pos="8647"/>
        </w:tabs>
        <w:snapToGrid w:val="0"/>
        <w:spacing w:line="480" w:lineRule="auto"/>
        <w:ind w:right="-7" w:firstLine="567"/>
        <w:jc w:val="both"/>
        <w:rPr>
          <w:b/>
          <w:bCs/>
        </w:rPr>
      </w:pPr>
      <w:r w:rsidRPr="00773F59">
        <w:rPr>
          <w:color w:val="000000"/>
        </w:rPr>
        <w:t xml:space="preserve">Ao todo foram revisados 50 casos, dos quais 45 preencheram os critérios de elegibilidade. Predominaram pacientes do sexo feminino (66,7%) e com média de idade </w:t>
      </w:r>
      <w:r w:rsidRPr="00773F59">
        <w:rPr>
          <w:color w:val="000000"/>
        </w:rPr>
        <w:lastRenderedPageBreak/>
        <w:t xml:space="preserve">de 59anos (35-82 anos). A maioria das cirurgias </w:t>
      </w:r>
      <w:r w:rsidR="000B7D0E" w:rsidRPr="00773F59">
        <w:rPr>
          <w:color w:val="000000"/>
        </w:rPr>
        <w:t>foi</w:t>
      </w:r>
      <w:r w:rsidRPr="00773F59">
        <w:rPr>
          <w:color w:val="000000"/>
        </w:rPr>
        <w:t xml:space="preserve"> realizada no ano de 2019 (60%), sendo a</w:t>
      </w:r>
      <w:r w:rsidR="00634D59">
        <w:rPr>
          <w:color w:val="000000"/>
        </w:rPr>
        <w:t xml:space="preserve"> </w:t>
      </w:r>
      <w:r w:rsidR="00236A4E" w:rsidRPr="00773F59">
        <w:rPr>
          <w:color w:val="000000"/>
        </w:rPr>
        <w:t>estenose</w:t>
      </w:r>
      <w:r w:rsidR="00634D59">
        <w:rPr>
          <w:color w:val="000000"/>
        </w:rPr>
        <w:t xml:space="preserve"> </w:t>
      </w:r>
      <w:r w:rsidR="000B7D0E" w:rsidRPr="00773F59">
        <w:rPr>
          <w:color w:val="000000"/>
        </w:rPr>
        <w:t>foraminal</w:t>
      </w:r>
      <w:r w:rsidR="00236A4E" w:rsidRPr="00773F59">
        <w:rPr>
          <w:color w:val="000000"/>
        </w:rPr>
        <w:t xml:space="preserve"> a causa de base mais comum</w:t>
      </w:r>
      <w:r w:rsidRPr="00773F59">
        <w:rPr>
          <w:color w:val="000000"/>
        </w:rPr>
        <w:t>(66,7%), conforme apresenta a Tabela 1.</w:t>
      </w:r>
    </w:p>
    <w:p w:rsidR="00CA5044" w:rsidRPr="00195729" w:rsidRDefault="00CA5044" w:rsidP="00195729">
      <w:pPr>
        <w:pStyle w:val="Legenda"/>
        <w:keepNext/>
        <w:spacing w:line="480" w:lineRule="auto"/>
        <w:rPr>
          <w:sz w:val="24"/>
          <w:szCs w:val="24"/>
        </w:rPr>
      </w:pPr>
      <w:bookmarkStart w:id="40" w:name="_Toc64548828"/>
      <w:r w:rsidRPr="00773F59">
        <w:rPr>
          <w:sz w:val="24"/>
          <w:szCs w:val="24"/>
        </w:rPr>
        <w:t xml:space="preserve">TABELA </w:t>
      </w:r>
      <w:r w:rsidR="00C774CF" w:rsidRPr="00773F59">
        <w:rPr>
          <w:sz w:val="24"/>
          <w:szCs w:val="24"/>
        </w:rPr>
        <w:fldChar w:fldCharType="begin"/>
      </w:r>
      <w:r w:rsidRPr="00773F59">
        <w:rPr>
          <w:sz w:val="24"/>
          <w:szCs w:val="24"/>
        </w:rPr>
        <w:instrText xml:space="preserve"> SEQ Tabela \* ARABIC </w:instrText>
      </w:r>
      <w:r w:rsidR="00C774CF" w:rsidRPr="00773F59">
        <w:rPr>
          <w:sz w:val="24"/>
          <w:szCs w:val="24"/>
        </w:rPr>
        <w:fldChar w:fldCharType="separate"/>
      </w:r>
      <w:r w:rsidRPr="00773F59">
        <w:rPr>
          <w:noProof/>
          <w:sz w:val="24"/>
          <w:szCs w:val="24"/>
        </w:rPr>
        <w:t>1</w:t>
      </w:r>
      <w:r w:rsidR="00C774CF" w:rsidRPr="00773F59">
        <w:rPr>
          <w:sz w:val="24"/>
          <w:szCs w:val="24"/>
        </w:rPr>
        <w:fldChar w:fldCharType="end"/>
      </w:r>
      <w:r w:rsidRPr="00773F59">
        <w:rPr>
          <w:sz w:val="24"/>
          <w:szCs w:val="24"/>
        </w:rPr>
        <w:t xml:space="preserve"> – VARIÁVEIS DEMOGRÁFICAS (n=45)</w:t>
      </w:r>
      <w:bookmarkEnd w:id="40"/>
    </w:p>
    <w:tbl>
      <w:tblPr>
        <w:tblW w:w="9072" w:type="dxa"/>
        <w:tblInd w:w="70" w:type="dxa"/>
        <w:tblLayout w:type="fixed"/>
        <w:tblCellMar>
          <w:left w:w="70" w:type="dxa"/>
          <w:right w:w="70" w:type="dxa"/>
        </w:tblCellMar>
        <w:tblLook w:val="04A0"/>
      </w:tblPr>
      <w:tblGrid>
        <w:gridCol w:w="2268"/>
        <w:gridCol w:w="2268"/>
        <w:gridCol w:w="2268"/>
        <w:gridCol w:w="2268"/>
      </w:tblGrid>
      <w:tr w:rsidR="00CA5044" w:rsidRPr="00773F59" w:rsidTr="00A1609D">
        <w:trPr>
          <w:trHeight w:val="315"/>
        </w:trPr>
        <w:tc>
          <w:tcPr>
            <w:tcW w:w="10206" w:type="dxa"/>
            <w:gridSpan w:val="2"/>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ind w:hanging="70"/>
              <w:rPr>
                <w:b/>
                <w:bCs/>
                <w:color w:val="000000"/>
              </w:rPr>
            </w:pPr>
            <w:r w:rsidRPr="00773F59">
              <w:rPr>
                <w:b/>
                <w:bCs/>
                <w:color w:val="000000"/>
              </w:rPr>
              <w:t>Variável                 Categorias</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b/>
                <w:bCs/>
                <w:color w:val="000000"/>
              </w:rPr>
            </w:pPr>
            <w:r w:rsidRPr="00773F59">
              <w:rPr>
                <w:b/>
                <w:bCs/>
                <w:color w:val="000000"/>
              </w:rPr>
              <w:t>Número de Pacientes</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b/>
                <w:bCs/>
                <w:color w:val="000000"/>
              </w:rPr>
            </w:pPr>
            <w:r w:rsidRPr="00773F59">
              <w:rPr>
                <w:b/>
                <w:bCs/>
                <w:color w:val="000000"/>
              </w:rPr>
              <w:t>Proporção (%)</w:t>
            </w:r>
          </w:p>
        </w:tc>
      </w:tr>
      <w:tr w:rsidR="00CA5044" w:rsidRPr="00773F59" w:rsidTr="00A1609D">
        <w:trPr>
          <w:trHeight w:val="315"/>
        </w:trPr>
        <w:tc>
          <w:tcPr>
            <w:tcW w:w="10206" w:type="dxa"/>
            <w:vMerge w:val="restart"/>
            <w:tcBorders>
              <w:top w:val="single" w:sz="4" w:space="0" w:color="auto"/>
              <w:left w:val="nil"/>
              <w:bottom w:val="nil"/>
              <w:right w:val="nil"/>
            </w:tcBorders>
            <w:shd w:val="clear" w:color="auto" w:fill="auto"/>
            <w:vAlign w:val="center"/>
            <w:hideMark/>
          </w:tcPr>
          <w:p w:rsidR="00CA5044" w:rsidRPr="00773F59" w:rsidRDefault="00CA5044" w:rsidP="00773F59">
            <w:pPr>
              <w:spacing w:line="480" w:lineRule="auto"/>
              <w:rPr>
                <w:b/>
                <w:bCs/>
                <w:color w:val="000000"/>
              </w:rPr>
            </w:pPr>
            <w:r w:rsidRPr="00773F59">
              <w:rPr>
                <w:b/>
                <w:bCs/>
                <w:color w:val="000000"/>
              </w:rPr>
              <w:t>Sexo</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Feminino</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30</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66,7</w:t>
            </w:r>
          </w:p>
        </w:tc>
      </w:tr>
      <w:tr w:rsidR="00CA5044" w:rsidRPr="00773F59" w:rsidTr="00A1609D">
        <w:trPr>
          <w:trHeight w:val="315"/>
        </w:trPr>
        <w:tc>
          <w:tcPr>
            <w:tcW w:w="10206" w:type="dxa"/>
            <w:vMerge/>
            <w:tcBorders>
              <w:top w:val="nil"/>
              <w:left w:val="nil"/>
              <w:bottom w:val="single" w:sz="4" w:space="0" w:color="auto"/>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Masculino</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15</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33,3</w:t>
            </w:r>
          </w:p>
        </w:tc>
      </w:tr>
      <w:tr w:rsidR="00CA5044" w:rsidRPr="00773F59" w:rsidTr="00A1609D">
        <w:trPr>
          <w:trHeight w:val="315"/>
        </w:trPr>
        <w:tc>
          <w:tcPr>
            <w:tcW w:w="10206" w:type="dxa"/>
            <w:vMerge w:val="restart"/>
            <w:tcBorders>
              <w:top w:val="single" w:sz="4" w:space="0" w:color="auto"/>
              <w:left w:val="nil"/>
              <w:bottom w:val="nil"/>
              <w:right w:val="nil"/>
            </w:tcBorders>
            <w:shd w:val="clear" w:color="auto" w:fill="auto"/>
            <w:vAlign w:val="center"/>
            <w:hideMark/>
          </w:tcPr>
          <w:p w:rsidR="00CA5044" w:rsidRPr="00773F59" w:rsidRDefault="00CA5044" w:rsidP="00773F59">
            <w:pPr>
              <w:spacing w:line="480" w:lineRule="auto"/>
              <w:rPr>
                <w:b/>
                <w:bCs/>
                <w:color w:val="000000"/>
              </w:rPr>
            </w:pPr>
            <w:r w:rsidRPr="00773F59">
              <w:rPr>
                <w:b/>
                <w:bCs/>
                <w:color w:val="000000"/>
              </w:rPr>
              <w:t>Ano da Cirurgia</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2017</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6</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13,3</w:t>
            </w:r>
          </w:p>
        </w:tc>
      </w:tr>
      <w:tr w:rsidR="00CA5044" w:rsidRPr="00773F59" w:rsidTr="00A1609D">
        <w:trPr>
          <w:trHeight w:val="315"/>
        </w:trPr>
        <w:tc>
          <w:tcPr>
            <w:tcW w:w="10206" w:type="dxa"/>
            <w:vMerge/>
            <w:tcBorders>
              <w:top w:val="nil"/>
              <w:left w:val="nil"/>
              <w:bottom w:val="nil"/>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2018</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10</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22,2</w:t>
            </w:r>
          </w:p>
        </w:tc>
      </w:tr>
      <w:tr w:rsidR="00CA5044" w:rsidRPr="00773F59" w:rsidTr="00A1609D">
        <w:trPr>
          <w:trHeight w:val="315"/>
        </w:trPr>
        <w:tc>
          <w:tcPr>
            <w:tcW w:w="10206" w:type="dxa"/>
            <w:vMerge/>
            <w:tcBorders>
              <w:top w:val="nil"/>
              <w:left w:val="nil"/>
              <w:bottom w:val="nil"/>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2019</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27</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60,0</w:t>
            </w:r>
          </w:p>
        </w:tc>
      </w:tr>
      <w:tr w:rsidR="00CA5044" w:rsidRPr="00773F59" w:rsidTr="00A1609D">
        <w:trPr>
          <w:trHeight w:val="315"/>
        </w:trPr>
        <w:tc>
          <w:tcPr>
            <w:tcW w:w="10206" w:type="dxa"/>
            <w:vMerge/>
            <w:tcBorders>
              <w:top w:val="nil"/>
              <w:left w:val="nil"/>
              <w:bottom w:val="single" w:sz="4" w:space="0" w:color="auto"/>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2020</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4,4</w:t>
            </w:r>
          </w:p>
        </w:tc>
      </w:tr>
      <w:tr w:rsidR="00CA5044" w:rsidRPr="00773F59" w:rsidTr="00A1609D">
        <w:trPr>
          <w:trHeight w:val="315"/>
        </w:trPr>
        <w:tc>
          <w:tcPr>
            <w:tcW w:w="10206" w:type="dxa"/>
            <w:vMerge w:val="restart"/>
            <w:tcBorders>
              <w:top w:val="single" w:sz="4" w:space="0" w:color="auto"/>
              <w:left w:val="nil"/>
              <w:bottom w:val="single" w:sz="4" w:space="0" w:color="auto"/>
              <w:right w:val="nil"/>
            </w:tcBorders>
            <w:shd w:val="clear" w:color="auto" w:fill="auto"/>
            <w:vAlign w:val="center"/>
            <w:hideMark/>
          </w:tcPr>
          <w:p w:rsidR="00CA5044" w:rsidRPr="00773F59" w:rsidRDefault="00CA5044" w:rsidP="00773F59">
            <w:pPr>
              <w:spacing w:line="480" w:lineRule="auto"/>
              <w:rPr>
                <w:b/>
                <w:bCs/>
                <w:color w:val="000000" w:themeColor="text1"/>
              </w:rPr>
            </w:pPr>
            <w:r w:rsidRPr="00773F59">
              <w:rPr>
                <w:b/>
                <w:bCs/>
                <w:color w:val="000000" w:themeColor="text1"/>
              </w:rPr>
              <w:t>Patologia de base*</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themeColor="text1"/>
              </w:rPr>
            </w:pPr>
            <w:r w:rsidRPr="00773F59">
              <w:rPr>
                <w:color w:val="000000" w:themeColor="text1"/>
              </w:rPr>
              <w:t>Degeneração de nível adjacente</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6</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13,3</w:t>
            </w:r>
          </w:p>
        </w:tc>
      </w:tr>
      <w:tr w:rsidR="00CA5044" w:rsidRPr="00773F59" w:rsidTr="00A1609D">
        <w:trPr>
          <w:trHeight w:val="315"/>
        </w:trPr>
        <w:tc>
          <w:tcPr>
            <w:tcW w:w="10206" w:type="dxa"/>
            <w:vMerge/>
            <w:tcBorders>
              <w:top w:val="nil"/>
              <w:left w:val="nil"/>
              <w:bottom w:val="single" w:sz="4" w:space="0" w:color="auto"/>
              <w:right w:val="nil"/>
            </w:tcBorders>
            <w:vAlign w:val="center"/>
            <w:hideMark/>
          </w:tcPr>
          <w:p w:rsidR="00CA5044" w:rsidRPr="00773F59" w:rsidRDefault="00CA5044" w:rsidP="00773F59">
            <w:pPr>
              <w:spacing w:line="480" w:lineRule="auto"/>
              <w:rPr>
                <w:b/>
                <w:bCs/>
                <w:color w:val="000000" w:themeColor="text1"/>
              </w:rPr>
            </w:pPr>
          </w:p>
        </w:tc>
        <w:tc>
          <w:tcPr>
            <w:tcW w:w="10206" w:type="dxa"/>
            <w:tcBorders>
              <w:top w:val="nil"/>
              <w:left w:val="nil"/>
              <w:bottom w:val="nil"/>
              <w:right w:val="nil"/>
            </w:tcBorders>
            <w:shd w:val="clear" w:color="auto" w:fill="auto"/>
            <w:noWrap/>
            <w:vAlign w:val="center"/>
            <w:hideMark/>
          </w:tcPr>
          <w:p w:rsidR="00CA5044" w:rsidRPr="00773F59" w:rsidRDefault="005907AD" w:rsidP="00773F59">
            <w:pPr>
              <w:spacing w:line="480" w:lineRule="auto"/>
              <w:rPr>
                <w:color w:val="000000" w:themeColor="text1"/>
              </w:rPr>
            </w:pPr>
            <w:r w:rsidRPr="00773F59">
              <w:rPr>
                <w:color w:val="000000" w:themeColor="text1"/>
              </w:rPr>
              <w:t xml:space="preserve">Estenose </w:t>
            </w:r>
            <w:r w:rsidR="00CA5044" w:rsidRPr="00773F59">
              <w:rPr>
                <w:color w:val="000000" w:themeColor="text1"/>
              </w:rPr>
              <w:t>foraminal</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30</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66,7</w:t>
            </w:r>
          </w:p>
        </w:tc>
      </w:tr>
      <w:tr w:rsidR="00CA5044" w:rsidRPr="00773F59" w:rsidTr="00A1609D">
        <w:trPr>
          <w:trHeight w:val="315"/>
        </w:trPr>
        <w:tc>
          <w:tcPr>
            <w:tcW w:w="10206" w:type="dxa"/>
            <w:vMerge/>
            <w:tcBorders>
              <w:top w:val="nil"/>
              <w:left w:val="nil"/>
              <w:bottom w:val="single" w:sz="4" w:space="0" w:color="auto"/>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Escoliose degenerativa</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6,7</w:t>
            </w:r>
          </w:p>
        </w:tc>
      </w:tr>
      <w:tr w:rsidR="00CA5044" w:rsidRPr="00773F59" w:rsidTr="00A1609D">
        <w:trPr>
          <w:trHeight w:val="315"/>
        </w:trPr>
        <w:tc>
          <w:tcPr>
            <w:tcW w:w="10206" w:type="dxa"/>
            <w:vMerge/>
            <w:tcBorders>
              <w:top w:val="nil"/>
              <w:left w:val="nil"/>
              <w:bottom w:val="single" w:sz="4" w:space="0" w:color="auto"/>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Espondilolistese</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6</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13,3</w:t>
            </w:r>
          </w:p>
        </w:tc>
      </w:tr>
      <w:tr w:rsidR="00CA5044" w:rsidRPr="00773F59" w:rsidTr="00A1609D">
        <w:trPr>
          <w:trHeight w:val="315"/>
        </w:trPr>
        <w:tc>
          <w:tcPr>
            <w:tcW w:w="10206" w:type="dxa"/>
            <w:vMerge/>
            <w:tcBorders>
              <w:top w:val="nil"/>
              <w:left w:val="nil"/>
              <w:bottom w:val="single" w:sz="4" w:space="0" w:color="auto"/>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Pseudoartrose</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4,4</w:t>
            </w:r>
          </w:p>
        </w:tc>
      </w:tr>
      <w:tr w:rsidR="00CA5044" w:rsidRPr="00773F59" w:rsidTr="00A1609D">
        <w:trPr>
          <w:trHeight w:val="315"/>
        </w:trPr>
        <w:tc>
          <w:tcPr>
            <w:tcW w:w="10206" w:type="dxa"/>
            <w:gridSpan w:val="2"/>
            <w:tcBorders>
              <w:top w:val="single" w:sz="4" w:space="0" w:color="auto"/>
              <w:left w:val="nil"/>
              <w:bottom w:val="single" w:sz="4" w:space="0" w:color="auto"/>
              <w:right w:val="nil"/>
            </w:tcBorders>
            <w:hideMark/>
          </w:tcPr>
          <w:p w:rsidR="00CA5044" w:rsidRPr="00773F59" w:rsidRDefault="00CA5044" w:rsidP="00773F59">
            <w:pPr>
              <w:spacing w:line="480" w:lineRule="auto"/>
              <w:rPr>
                <w:color w:val="000000"/>
              </w:rPr>
            </w:pP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b/>
                <w:color w:val="000000"/>
              </w:rPr>
            </w:pPr>
            <w:r w:rsidRPr="00773F59">
              <w:rPr>
                <w:b/>
                <w:color w:val="000000"/>
              </w:rPr>
              <w:t>Média</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b/>
                <w:color w:val="000000"/>
              </w:rPr>
            </w:pPr>
            <w:r w:rsidRPr="00773F59">
              <w:rPr>
                <w:b/>
                <w:color w:val="000000"/>
              </w:rPr>
              <w:t>Desvio Padrão</w:t>
            </w:r>
          </w:p>
        </w:tc>
      </w:tr>
      <w:tr w:rsidR="00CA5044" w:rsidRPr="00773F59" w:rsidTr="00A1609D">
        <w:trPr>
          <w:trHeight w:val="315"/>
        </w:trPr>
        <w:tc>
          <w:tcPr>
            <w:tcW w:w="10206" w:type="dxa"/>
            <w:gridSpan w:val="2"/>
            <w:tcBorders>
              <w:top w:val="single" w:sz="4" w:space="0" w:color="auto"/>
              <w:left w:val="nil"/>
              <w:bottom w:val="single" w:sz="4" w:space="0" w:color="auto"/>
              <w:right w:val="nil"/>
            </w:tcBorders>
            <w:hideMark/>
          </w:tcPr>
          <w:p w:rsidR="00CA5044" w:rsidRPr="00773F59" w:rsidRDefault="00CA5044" w:rsidP="00773F59">
            <w:pPr>
              <w:spacing w:line="480" w:lineRule="auto"/>
              <w:rPr>
                <w:color w:val="000000"/>
              </w:rPr>
            </w:pPr>
            <w:r w:rsidRPr="00773F59">
              <w:rPr>
                <w:color w:val="000000"/>
              </w:rPr>
              <w:t>Idade</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59,1</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11,5</w:t>
            </w:r>
          </w:p>
        </w:tc>
      </w:tr>
      <w:tr w:rsidR="00CA5044" w:rsidRPr="00773F59" w:rsidTr="00A1609D">
        <w:trPr>
          <w:trHeight w:val="315"/>
        </w:trPr>
        <w:tc>
          <w:tcPr>
            <w:tcW w:w="10206" w:type="dxa"/>
            <w:gridSpan w:val="2"/>
            <w:tcBorders>
              <w:top w:val="single" w:sz="4" w:space="0" w:color="auto"/>
              <w:left w:val="nil"/>
              <w:bottom w:val="single" w:sz="4" w:space="0" w:color="auto"/>
              <w:right w:val="nil"/>
            </w:tcBorders>
            <w:hideMark/>
          </w:tcPr>
          <w:p w:rsidR="00CA5044" w:rsidRPr="00773F59" w:rsidRDefault="00CA5044" w:rsidP="00773F59">
            <w:pPr>
              <w:spacing w:line="480" w:lineRule="auto"/>
              <w:rPr>
                <w:color w:val="000000"/>
              </w:rPr>
            </w:pP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b/>
                <w:color w:val="000000"/>
              </w:rPr>
            </w:pPr>
            <w:r w:rsidRPr="00773F59">
              <w:rPr>
                <w:b/>
                <w:color w:val="000000"/>
              </w:rPr>
              <w:t>Mediana</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b/>
                <w:color w:val="000000"/>
              </w:rPr>
            </w:pPr>
            <w:r w:rsidRPr="00773F59">
              <w:rPr>
                <w:b/>
                <w:color w:val="000000"/>
              </w:rPr>
              <w:t>Quartil 1-3</w:t>
            </w:r>
          </w:p>
        </w:tc>
      </w:tr>
      <w:tr w:rsidR="00CA5044" w:rsidRPr="00773F59" w:rsidTr="00A1609D">
        <w:trPr>
          <w:trHeight w:val="315"/>
        </w:trPr>
        <w:tc>
          <w:tcPr>
            <w:tcW w:w="10206" w:type="dxa"/>
            <w:gridSpan w:val="2"/>
            <w:tcBorders>
              <w:top w:val="single" w:sz="4" w:space="0" w:color="auto"/>
              <w:left w:val="nil"/>
              <w:right w:val="nil"/>
            </w:tcBorders>
            <w:hideMark/>
          </w:tcPr>
          <w:p w:rsidR="00CA5044" w:rsidRPr="00773F59" w:rsidRDefault="00CA5044" w:rsidP="00773F59">
            <w:pPr>
              <w:spacing w:line="480" w:lineRule="auto"/>
              <w:rPr>
                <w:color w:val="000000"/>
              </w:rPr>
            </w:pPr>
            <w:r w:rsidRPr="00773F59">
              <w:rPr>
                <w:color w:val="000000"/>
              </w:rPr>
              <w:t>Tempo de internação (dias)</w:t>
            </w:r>
          </w:p>
        </w:tc>
        <w:tc>
          <w:tcPr>
            <w:tcW w:w="10206" w:type="dxa"/>
            <w:tcBorders>
              <w:top w:val="single" w:sz="4" w:space="0" w:color="auto"/>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w:t>
            </w:r>
          </w:p>
        </w:tc>
        <w:tc>
          <w:tcPr>
            <w:tcW w:w="10206" w:type="dxa"/>
            <w:tcBorders>
              <w:top w:val="single" w:sz="4" w:space="0" w:color="auto"/>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 – 4</w:t>
            </w:r>
          </w:p>
        </w:tc>
      </w:tr>
      <w:tr w:rsidR="00CA5044" w:rsidRPr="00773F59" w:rsidTr="00A1609D">
        <w:trPr>
          <w:trHeight w:val="315"/>
        </w:trPr>
        <w:tc>
          <w:tcPr>
            <w:tcW w:w="10206" w:type="dxa"/>
            <w:gridSpan w:val="2"/>
            <w:tcBorders>
              <w:top w:val="nil"/>
              <w:left w:val="nil"/>
              <w:bottom w:val="single" w:sz="4" w:space="0" w:color="auto"/>
              <w:right w:val="nil"/>
            </w:tcBorders>
            <w:hideMark/>
          </w:tcPr>
          <w:p w:rsidR="00CA5044" w:rsidRPr="00773F59" w:rsidRDefault="00CA5044" w:rsidP="00773F59">
            <w:pPr>
              <w:spacing w:line="480" w:lineRule="auto"/>
              <w:rPr>
                <w:color w:val="000000"/>
              </w:rPr>
            </w:pPr>
            <w:r w:rsidRPr="00773F59">
              <w:rPr>
                <w:color w:val="000000"/>
              </w:rPr>
              <w:t>Tempo até retorno às atividades diárias (meses)</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 – 3</w:t>
            </w:r>
          </w:p>
        </w:tc>
      </w:tr>
    </w:tbl>
    <w:p w:rsidR="00CA5044" w:rsidRPr="00773F59" w:rsidRDefault="00CA5044" w:rsidP="00195729">
      <w:pPr>
        <w:spacing w:line="480" w:lineRule="auto"/>
        <w:rPr>
          <w:color w:val="000000"/>
        </w:rPr>
      </w:pPr>
      <w:r w:rsidRPr="00773F59">
        <w:rPr>
          <w:color w:val="000000"/>
        </w:rPr>
        <w:lastRenderedPageBreak/>
        <w:t>*múltipla resposta</w:t>
      </w:r>
    </w:p>
    <w:p w:rsidR="00CA5044" w:rsidRPr="00773F59" w:rsidRDefault="00CA5044" w:rsidP="00773F59">
      <w:pPr>
        <w:spacing w:line="480" w:lineRule="auto"/>
        <w:ind w:firstLine="709"/>
        <w:jc w:val="both"/>
        <w:rPr>
          <w:color w:val="00B050"/>
        </w:rPr>
      </w:pPr>
      <w:r w:rsidRPr="00773F59">
        <w:rPr>
          <w:color w:val="000000"/>
        </w:rPr>
        <w:t xml:space="preserve">O tempo de internação, em mediana, foi de 3 dias </w:t>
      </w:r>
      <w:r w:rsidRPr="00773F59">
        <w:t xml:space="preserve">(2-18 dias) </w:t>
      </w:r>
      <w:r w:rsidRPr="00773F59">
        <w:rPr>
          <w:color w:val="000000"/>
        </w:rPr>
        <w:t>e o tempo</w:t>
      </w:r>
      <w:r w:rsidR="00236A4E" w:rsidRPr="00773F59">
        <w:rPr>
          <w:color w:val="000000"/>
        </w:rPr>
        <w:t xml:space="preserve"> d</w:t>
      </w:r>
      <w:r w:rsidRPr="00773F59">
        <w:rPr>
          <w:color w:val="000000"/>
        </w:rPr>
        <w:t>e retorno às atividades diárias</w:t>
      </w:r>
      <w:r w:rsidR="003610DF" w:rsidRPr="00773F59">
        <w:rPr>
          <w:color w:val="000000"/>
        </w:rPr>
        <w:t xml:space="preserve"> como o </w:t>
      </w:r>
      <w:r w:rsidR="00236A4E" w:rsidRPr="00773F59">
        <w:rPr>
          <w:color w:val="000000"/>
        </w:rPr>
        <w:t>retorno ao trabalho, também em mediana,</w:t>
      </w:r>
      <w:r w:rsidRPr="00773F59">
        <w:rPr>
          <w:color w:val="000000"/>
        </w:rPr>
        <w:t xml:space="preserve"> foi de 3 meses </w:t>
      </w:r>
      <w:r w:rsidRPr="00773F59">
        <w:t>(0,25-10 meses).</w:t>
      </w:r>
    </w:p>
    <w:p w:rsidR="006A60ED" w:rsidRPr="00773F59" w:rsidRDefault="00CA5044" w:rsidP="00773F59">
      <w:pPr>
        <w:spacing w:line="480" w:lineRule="auto"/>
        <w:ind w:firstLine="709"/>
        <w:jc w:val="both"/>
        <w:rPr>
          <w:color w:val="000000"/>
        </w:rPr>
      </w:pPr>
      <w:r w:rsidRPr="00773F59">
        <w:rPr>
          <w:color w:val="000000"/>
        </w:rPr>
        <w:t>Conforme apresenta a Tabela 2, o nível vertebral mais abordado foi L3-</w:t>
      </w:r>
      <w:r w:rsidR="00634D59">
        <w:rPr>
          <w:color w:val="000000"/>
        </w:rPr>
        <w:t>L</w:t>
      </w:r>
      <w:r w:rsidRPr="00773F59">
        <w:rPr>
          <w:color w:val="000000"/>
        </w:rPr>
        <w:t>4 (55,6%) e a via de entrada foi preferencialmente a lateral esquerda (66,7%). A técnica mais utilizada foi a</w:t>
      </w:r>
      <w:r w:rsidR="00236A4E" w:rsidRPr="00773F59">
        <w:rPr>
          <w:color w:val="000000"/>
        </w:rPr>
        <w:t xml:space="preserve"> do</w:t>
      </w:r>
      <w:r w:rsidR="00634D59">
        <w:rPr>
          <w:color w:val="000000"/>
        </w:rPr>
        <w:t xml:space="preserve"> </w:t>
      </w:r>
      <w:r w:rsidR="00634D59" w:rsidRPr="00634D59">
        <w:rPr>
          <w:iCs/>
          <w:color w:val="000000"/>
        </w:rPr>
        <w:t>implante</w:t>
      </w:r>
      <w:r w:rsidRPr="00773F59">
        <w:rPr>
          <w:color w:val="000000"/>
        </w:rPr>
        <w:t xml:space="preserve"> sem instrumentação suplementar (77,8%), sendo realizada fixação </w:t>
      </w:r>
      <w:r w:rsidR="00236A4E" w:rsidRPr="00773F59">
        <w:rPr>
          <w:color w:val="000000"/>
        </w:rPr>
        <w:t>pedicular</w:t>
      </w:r>
      <w:r w:rsidRPr="00773F59">
        <w:rPr>
          <w:color w:val="000000"/>
        </w:rPr>
        <w:t xml:space="preserve"> bilateral </w:t>
      </w:r>
      <w:r w:rsidR="00634D59">
        <w:rPr>
          <w:color w:val="000000"/>
        </w:rPr>
        <w:t>nos casos que apresentavam instabilidade na radiografia dinâmica pré-operatória</w:t>
      </w:r>
      <w:r w:rsidRPr="00773F59">
        <w:rPr>
          <w:color w:val="000000"/>
        </w:rPr>
        <w:t>. Não houve lesão do ligamento longitudinal anterior.</w:t>
      </w:r>
    </w:p>
    <w:p w:rsidR="00CA5044" w:rsidRPr="00773F59" w:rsidRDefault="00CA5044" w:rsidP="00773F59">
      <w:pPr>
        <w:spacing w:line="480" w:lineRule="auto"/>
        <w:ind w:firstLine="709"/>
        <w:jc w:val="both"/>
        <w:rPr>
          <w:color w:val="000000"/>
        </w:rPr>
      </w:pPr>
    </w:p>
    <w:p w:rsidR="00CA5044" w:rsidRPr="00773F59" w:rsidRDefault="00CA5044" w:rsidP="00773F59">
      <w:pPr>
        <w:pStyle w:val="Legenda"/>
        <w:keepNext/>
        <w:spacing w:line="480" w:lineRule="auto"/>
        <w:rPr>
          <w:sz w:val="24"/>
          <w:szCs w:val="24"/>
        </w:rPr>
      </w:pPr>
      <w:bookmarkStart w:id="41" w:name="_Toc64548829"/>
      <w:r w:rsidRPr="00773F59">
        <w:rPr>
          <w:sz w:val="24"/>
          <w:szCs w:val="24"/>
        </w:rPr>
        <w:t xml:space="preserve">TABELA </w:t>
      </w:r>
      <w:r w:rsidR="00C774CF" w:rsidRPr="00773F59">
        <w:rPr>
          <w:sz w:val="24"/>
          <w:szCs w:val="24"/>
        </w:rPr>
        <w:fldChar w:fldCharType="begin"/>
      </w:r>
      <w:r w:rsidRPr="00773F59">
        <w:rPr>
          <w:sz w:val="24"/>
          <w:szCs w:val="24"/>
        </w:rPr>
        <w:instrText xml:space="preserve"> SEQ Tabela \* ARABIC </w:instrText>
      </w:r>
      <w:r w:rsidR="00C774CF" w:rsidRPr="00773F59">
        <w:rPr>
          <w:sz w:val="24"/>
          <w:szCs w:val="24"/>
        </w:rPr>
        <w:fldChar w:fldCharType="separate"/>
      </w:r>
      <w:r w:rsidRPr="00773F59">
        <w:rPr>
          <w:noProof/>
          <w:sz w:val="24"/>
          <w:szCs w:val="24"/>
        </w:rPr>
        <w:t>2</w:t>
      </w:r>
      <w:r w:rsidR="00C774CF" w:rsidRPr="00773F59">
        <w:rPr>
          <w:sz w:val="24"/>
          <w:szCs w:val="24"/>
        </w:rPr>
        <w:fldChar w:fldCharType="end"/>
      </w:r>
      <w:r w:rsidRPr="00773F59">
        <w:rPr>
          <w:sz w:val="24"/>
          <w:szCs w:val="24"/>
        </w:rPr>
        <w:t>– VARIÁVEIS PERIOPERATÓRIAS (n=45)</w:t>
      </w:r>
      <w:bookmarkEnd w:id="41"/>
    </w:p>
    <w:p w:rsidR="00CA5044" w:rsidRPr="00773F59" w:rsidRDefault="00CA5044" w:rsidP="00773F59">
      <w:pPr>
        <w:spacing w:line="480" w:lineRule="auto"/>
      </w:pPr>
    </w:p>
    <w:tbl>
      <w:tblPr>
        <w:tblW w:w="8695" w:type="dxa"/>
        <w:tblInd w:w="70" w:type="dxa"/>
        <w:tblLayout w:type="fixed"/>
        <w:tblCellMar>
          <w:left w:w="70" w:type="dxa"/>
          <w:right w:w="70" w:type="dxa"/>
        </w:tblCellMar>
        <w:tblLook w:val="04A0"/>
      </w:tblPr>
      <w:tblGrid>
        <w:gridCol w:w="2173"/>
        <w:gridCol w:w="2174"/>
        <w:gridCol w:w="2174"/>
        <w:gridCol w:w="2174"/>
      </w:tblGrid>
      <w:tr w:rsidR="00CA5044" w:rsidRPr="00773F59" w:rsidTr="00A1609D">
        <w:trPr>
          <w:trHeight w:val="315"/>
        </w:trPr>
        <w:tc>
          <w:tcPr>
            <w:tcW w:w="10206" w:type="dxa"/>
            <w:gridSpan w:val="2"/>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ind w:hanging="70"/>
              <w:rPr>
                <w:b/>
                <w:bCs/>
                <w:color w:val="000000"/>
              </w:rPr>
            </w:pPr>
            <w:r w:rsidRPr="00773F59">
              <w:rPr>
                <w:b/>
                <w:bCs/>
                <w:color w:val="000000"/>
              </w:rPr>
              <w:t>Variável</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b/>
                <w:bCs/>
                <w:color w:val="000000"/>
              </w:rPr>
            </w:pPr>
            <w:r w:rsidRPr="00773F59">
              <w:rPr>
                <w:b/>
                <w:bCs/>
                <w:color w:val="000000"/>
              </w:rPr>
              <w:t>Número de Pacientes</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b/>
                <w:bCs/>
                <w:color w:val="000000"/>
              </w:rPr>
            </w:pPr>
            <w:r w:rsidRPr="00773F59">
              <w:rPr>
                <w:b/>
                <w:bCs/>
                <w:color w:val="000000"/>
              </w:rPr>
              <w:t>Proporção (%)</w:t>
            </w:r>
          </w:p>
        </w:tc>
      </w:tr>
      <w:tr w:rsidR="00CA5044" w:rsidRPr="00773F59" w:rsidTr="00A1609D">
        <w:trPr>
          <w:trHeight w:val="315"/>
        </w:trPr>
        <w:tc>
          <w:tcPr>
            <w:tcW w:w="10206" w:type="dxa"/>
            <w:vMerge w:val="restart"/>
            <w:tcBorders>
              <w:top w:val="single" w:sz="4" w:space="0" w:color="auto"/>
              <w:left w:val="nil"/>
              <w:right w:val="nil"/>
            </w:tcBorders>
            <w:shd w:val="clear" w:color="auto" w:fill="auto"/>
            <w:vAlign w:val="center"/>
            <w:hideMark/>
          </w:tcPr>
          <w:p w:rsidR="00CA5044" w:rsidRPr="00773F59" w:rsidRDefault="00CA5044" w:rsidP="00773F59">
            <w:pPr>
              <w:spacing w:line="480" w:lineRule="auto"/>
              <w:rPr>
                <w:b/>
                <w:bCs/>
                <w:color w:val="000000"/>
              </w:rPr>
            </w:pPr>
            <w:r w:rsidRPr="00773F59">
              <w:rPr>
                <w:b/>
                <w:bCs/>
                <w:color w:val="000000"/>
              </w:rPr>
              <w:t>Níveis abordados*</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L1-2</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4,4</w:t>
            </w:r>
          </w:p>
        </w:tc>
      </w:tr>
      <w:tr w:rsidR="00CA5044" w:rsidRPr="00773F59" w:rsidTr="00A1609D">
        <w:trPr>
          <w:trHeight w:val="315"/>
        </w:trPr>
        <w:tc>
          <w:tcPr>
            <w:tcW w:w="10206" w:type="dxa"/>
            <w:vMerge/>
            <w:tcBorders>
              <w:left w:val="nil"/>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L2-3</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18</w:t>
            </w:r>
          </w:p>
        </w:tc>
        <w:tc>
          <w:tcPr>
            <w:tcW w:w="10206" w:type="dxa"/>
            <w:tcBorders>
              <w:top w:val="nil"/>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40,0</w:t>
            </w:r>
          </w:p>
        </w:tc>
      </w:tr>
      <w:tr w:rsidR="00CA5044" w:rsidRPr="00773F59" w:rsidTr="00A1609D">
        <w:trPr>
          <w:trHeight w:val="315"/>
        </w:trPr>
        <w:tc>
          <w:tcPr>
            <w:tcW w:w="10206" w:type="dxa"/>
            <w:vMerge/>
            <w:tcBorders>
              <w:left w:val="nil"/>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L3-4</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25</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55,6</w:t>
            </w:r>
          </w:p>
        </w:tc>
      </w:tr>
      <w:tr w:rsidR="00CA5044" w:rsidRPr="00773F59" w:rsidTr="00A1609D">
        <w:trPr>
          <w:trHeight w:val="315"/>
        </w:trPr>
        <w:tc>
          <w:tcPr>
            <w:tcW w:w="10206" w:type="dxa"/>
            <w:vMerge/>
            <w:tcBorders>
              <w:left w:val="nil"/>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L4-5</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12</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26,7</w:t>
            </w:r>
          </w:p>
        </w:tc>
      </w:tr>
      <w:tr w:rsidR="00CA5044" w:rsidRPr="00773F59" w:rsidTr="00A1609D">
        <w:trPr>
          <w:trHeight w:val="315"/>
        </w:trPr>
        <w:tc>
          <w:tcPr>
            <w:tcW w:w="10206" w:type="dxa"/>
            <w:vMerge/>
            <w:tcBorders>
              <w:left w:val="nil"/>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T12-L1</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4,4</w:t>
            </w:r>
          </w:p>
        </w:tc>
      </w:tr>
      <w:tr w:rsidR="00CA5044" w:rsidRPr="00773F59" w:rsidTr="00A1609D">
        <w:trPr>
          <w:trHeight w:val="315"/>
        </w:trPr>
        <w:tc>
          <w:tcPr>
            <w:tcW w:w="10206" w:type="dxa"/>
            <w:vMerge/>
            <w:tcBorders>
              <w:left w:val="nil"/>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T6-7</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2,2</w:t>
            </w:r>
          </w:p>
        </w:tc>
      </w:tr>
      <w:tr w:rsidR="00CA5044" w:rsidRPr="00773F59" w:rsidTr="00A1609D">
        <w:trPr>
          <w:trHeight w:val="315"/>
        </w:trPr>
        <w:tc>
          <w:tcPr>
            <w:tcW w:w="10206" w:type="dxa"/>
            <w:vMerge/>
            <w:tcBorders>
              <w:left w:val="nil"/>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T7-8</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w:t>
            </w:r>
          </w:p>
        </w:tc>
        <w:tc>
          <w:tcPr>
            <w:tcW w:w="10206" w:type="dxa"/>
            <w:tcBorders>
              <w:top w:val="nil"/>
              <w:left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2,2</w:t>
            </w:r>
          </w:p>
        </w:tc>
      </w:tr>
      <w:tr w:rsidR="00CA5044" w:rsidRPr="00773F59" w:rsidTr="00A1609D">
        <w:trPr>
          <w:trHeight w:val="315"/>
        </w:trPr>
        <w:tc>
          <w:tcPr>
            <w:tcW w:w="10206" w:type="dxa"/>
            <w:tcBorders>
              <w:left w:val="nil"/>
              <w:bottom w:val="single" w:sz="4" w:space="0" w:color="auto"/>
              <w:right w:val="nil"/>
            </w:tcBorders>
            <w:vAlign w:val="center"/>
            <w:hideMark/>
          </w:tcPr>
          <w:p w:rsidR="00CA5044" w:rsidRPr="00773F59" w:rsidRDefault="00CA5044" w:rsidP="00773F59">
            <w:pPr>
              <w:spacing w:line="480" w:lineRule="auto"/>
              <w:rPr>
                <w:b/>
                <w:bCs/>
                <w:color w:val="000000"/>
              </w:rPr>
            </w:pPr>
          </w:p>
        </w:tc>
        <w:tc>
          <w:tcPr>
            <w:tcW w:w="10206" w:type="dxa"/>
            <w:tcBorders>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T9-10</w:t>
            </w:r>
          </w:p>
        </w:tc>
        <w:tc>
          <w:tcPr>
            <w:tcW w:w="10206" w:type="dxa"/>
            <w:tcBorders>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w:t>
            </w:r>
          </w:p>
        </w:tc>
        <w:tc>
          <w:tcPr>
            <w:tcW w:w="10206" w:type="dxa"/>
            <w:tcBorders>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2,2</w:t>
            </w:r>
          </w:p>
        </w:tc>
      </w:tr>
      <w:tr w:rsidR="00CA5044" w:rsidRPr="00773F59" w:rsidTr="00A1609D">
        <w:trPr>
          <w:trHeight w:val="315"/>
        </w:trPr>
        <w:tc>
          <w:tcPr>
            <w:tcW w:w="10206" w:type="dxa"/>
            <w:vMerge w:val="restart"/>
            <w:tcBorders>
              <w:top w:val="single" w:sz="4" w:space="0" w:color="auto"/>
              <w:left w:val="nil"/>
              <w:bottom w:val="nil"/>
              <w:right w:val="nil"/>
            </w:tcBorders>
            <w:shd w:val="clear" w:color="auto" w:fill="auto"/>
            <w:vAlign w:val="center"/>
            <w:hideMark/>
          </w:tcPr>
          <w:p w:rsidR="00CA5044" w:rsidRPr="00773F59" w:rsidRDefault="00634D59" w:rsidP="00773F59">
            <w:pPr>
              <w:spacing w:line="480" w:lineRule="auto"/>
              <w:rPr>
                <w:b/>
                <w:bCs/>
                <w:color w:val="000000"/>
              </w:rPr>
            </w:pPr>
            <w:r>
              <w:rPr>
                <w:b/>
                <w:bCs/>
                <w:color w:val="000000"/>
              </w:rPr>
              <w:t xml:space="preserve">Implante sem suplementação </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Sim</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35</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77,8</w:t>
            </w:r>
          </w:p>
        </w:tc>
      </w:tr>
      <w:tr w:rsidR="00CA5044" w:rsidRPr="00773F59" w:rsidTr="00A1609D">
        <w:trPr>
          <w:trHeight w:val="315"/>
        </w:trPr>
        <w:tc>
          <w:tcPr>
            <w:tcW w:w="10206" w:type="dxa"/>
            <w:vMerge/>
            <w:tcBorders>
              <w:top w:val="nil"/>
              <w:left w:val="nil"/>
              <w:bottom w:val="single" w:sz="4" w:space="0" w:color="auto"/>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Não</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10</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22,2</w:t>
            </w:r>
          </w:p>
        </w:tc>
      </w:tr>
      <w:tr w:rsidR="00CA5044" w:rsidRPr="00773F59" w:rsidTr="00A1609D">
        <w:trPr>
          <w:trHeight w:val="315"/>
        </w:trPr>
        <w:tc>
          <w:tcPr>
            <w:tcW w:w="10206" w:type="dxa"/>
            <w:vMerge w:val="restart"/>
            <w:tcBorders>
              <w:top w:val="single" w:sz="4" w:space="0" w:color="auto"/>
              <w:left w:val="nil"/>
              <w:bottom w:val="nil"/>
              <w:right w:val="nil"/>
            </w:tcBorders>
            <w:shd w:val="clear" w:color="auto" w:fill="auto"/>
            <w:vAlign w:val="center"/>
            <w:hideMark/>
          </w:tcPr>
          <w:p w:rsidR="00CA5044" w:rsidRPr="00773F59" w:rsidRDefault="00CA5044" w:rsidP="00773F59">
            <w:pPr>
              <w:spacing w:line="480" w:lineRule="auto"/>
              <w:rPr>
                <w:b/>
                <w:bCs/>
                <w:color w:val="000000"/>
              </w:rPr>
            </w:pPr>
            <w:r w:rsidRPr="00773F59">
              <w:rPr>
                <w:b/>
                <w:bCs/>
                <w:color w:val="000000"/>
              </w:rPr>
              <w:lastRenderedPageBreak/>
              <w:t>Fixação posterior</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Sim</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10</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22,2</w:t>
            </w:r>
          </w:p>
        </w:tc>
      </w:tr>
      <w:tr w:rsidR="00CA5044" w:rsidRPr="00773F59" w:rsidTr="00A1609D">
        <w:trPr>
          <w:trHeight w:val="315"/>
        </w:trPr>
        <w:tc>
          <w:tcPr>
            <w:tcW w:w="10206" w:type="dxa"/>
            <w:vMerge/>
            <w:tcBorders>
              <w:top w:val="nil"/>
              <w:left w:val="nil"/>
              <w:bottom w:val="single" w:sz="4" w:space="0" w:color="auto"/>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Não</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35</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77,8</w:t>
            </w:r>
          </w:p>
        </w:tc>
      </w:tr>
      <w:tr w:rsidR="00CA5044" w:rsidRPr="00773F59" w:rsidTr="00A1609D">
        <w:trPr>
          <w:trHeight w:val="315"/>
        </w:trPr>
        <w:tc>
          <w:tcPr>
            <w:tcW w:w="10206" w:type="dxa"/>
            <w:vMerge w:val="restart"/>
            <w:tcBorders>
              <w:top w:val="single" w:sz="4" w:space="0" w:color="auto"/>
              <w:left w:val="nil"/>
              <w:bottom w:val="single" w:sz="4" w:space="0" w:color="000000"/>
              <w:right w:val="nil"/>
            </w:tcBorders>
            <w:shd w:val="clear" w:color="auto" w:fill="auto"/>
            <w:vAlign w:val="center"/>
            <w:hideMark/>
          </w:tcPr>
          <w:p w:rsidR="00CA5044" w:rsidRPr="00773F59" w:rsidRDefault="00CA5044" w:rsidP="00773F59">
            <w:pPr>
              <w:spacing w:line="480" w:lineRule="auto"/>
              <w:rPr>
                <w:b/>
                <w:bCs/>
                <w:color w:val="000000"/>
              </w:rPr>
            </w:pPr>
            <w:r w:rsidRPr="00773F59">
              <w:rPr>
                <w:b/>
                <w:bCs/>
                <w:color w:val="000000"/>
              </w:rPr>
              <w:t>Entrada</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Direita</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15</w:t>
            </w:r>
          </w:p>
        </w:tc>
        <w:tc>
          <w:tcPr>
            <w:tcW w:w="10206" w:type="dxa"/>
            <w:tcBorders>
              <w:top w:val="single" w:sz="4" w:space="0" w:color="auto"/>
              <w:left w:val="nil"/>
              <w:bottom w:val="nil"/>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33,3</w:t>
            </w:r>
          </w:p>
        </w:tc>
      </w:tr>
      <w:tr w:rsidR="00CA5044" w:rsidRPr="00773F59" w:rsidTr="00A1609D">
        <w:trPr>
          <w:trHeight w:val="315"/>
        </w:trPr>
        <w:tc>
          <w:tcPr>
            <w:tcW w:w="10206" w:type="dxa"/>
            <w:vMerge/>
            <w:tcBorders>
              <w:top w:val="nil"/>
              <w:left w:val="nil"/>
              <w:bottom w:val="single" w:sz="4" w:space="0" w:color="auto"/>
              <w:right w:val="nil"/>
            </w:tcBorders>
            <w:vAlign w:val="center"/>
            <w:hideMark/>
          </w:tcPr>
          <w:p w:rsidR="00CA5044" w:rsidRPr="00773F59" w:rsidRDefault="00CA5044" w:rsidP="00773F59">
            <w:pPr>
              <w:spacing w:line="480" w:lineRule="auto"/>
              <w:rPr>
                <w:b/>
                <w:bCs/>
                <w:color w:val="000000"/>
              </w:rPr>
            </w:pP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Esquerda</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30</w:t>
            </w:r>
          </w:p>
        </w:tc>
        <w:tc>
          <w:tcPr>
            <w:tcW w:w="10206" w:type="dxa"/>
            <w:tcBorders>
              <w:top w:val="nil"/>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66,7</w:t>
            </w:r>
          </w:p>
        </w:tc>
      </w:tr>
      <w:tr w:rsidR="00CA5044" w:rsidRPr="00773F59" w:rsidTr="00A1609D">
        <w:trPr>
          <w:trHeight w:val="315"/>
        </w:trPr>
        <w:tc>
          <w:tcPr>
            <w:tcW w:w="10206" w:type="dxa"/>
            <w:tcBorders>
              <w:top w:val="single" w:sz="4" w:space="0" w:color="auto"/>
              <w:left w:val="nil"/>
              <w:bottom w:val="single" w:sz="4" w:space="0" w:color="000000"/>
              <w:right w:val="nil"/>
            </w:tcBorders>
            <w:vAlign w:val="center"/>
            <w:hideMark/>
          </w:tcPr>
          <w:p w:rsidR="00CA5044" w:rsidRPr="00773F59" w:rsidRDefault="00CA5044" w:rsidP="00773F59">
            <w:pPr>
              <w:spacing w:line="480" w:lineRule="auto"/>
              <w:rPr>
                <w:b/>
                <w:bCs/>
                <w:color w:val="000000"/>
              </w:rPr>
            </w:pPr>
            <w:r w:rsidRPr="00773F59">
              <w:rPr>
                <w:b/>
                <w:bCs/>
                <w:color w:val="000000"/>
              </w:rPr>
              <w:t>Presença de complicações**</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4</w:t>
            </w:r>
          </w:p>
        </w:tc>
        <w:tc>
          <w:tcPr>
            <w:tcW w:w="10206" w:type="dxa"/>
            <w:tcBorders>
              <w:top w:val="single" w:sz="4" w:space="0" w:color="auto"/>
              <w:left w:val="nil"/>
              <w:bottom w:val="single" w:sz="4" w:space="0" w:color="auto"/>
              <w:right w:val="nil"/>
            </w:tcBorders>
            <w:shd w:val="clear" w:color="auto" w:fill="auto"/>
            <w:noWrap/>
            <w:vAlign w:val="center"/>
            <w:hideMark/>
          </w:tcPr>
          <w:p w:rsidR="00CA5044" w:rsidRPr="00773F59" w:rsidRDefault="00CA5044" w:rsidP="00773F59">
            <w:pPr>
              <w:spacing w:line="480" w:lineRule="auto"/>
              <w:rPr>
                <w:color w:val="000000"/>
              </w:rPr>
            </w:pPr>
            <w:r w:rsidRPr="00773F59">
              <w:rPr>
                <w:color w:val="000000"/>
              </w:rPr>
              <w:t>8,9</w:t>
            </w:r>
          </w:p>
        </w:tc>
      </w:tr>
    </w:tbl>
    <w:p w:rsidR="00CA5044" w:rsidRPr="00773F59" w:rsidRDefault="00CA5044" w:rsidP="00773F59">
      <w:pPr>
        <w:spacing w:line="480" w:lineRule="auto"/>
        <w:rPr>
          <w:color w:val="000000"/>
        </w:rPr>
      </w:pPr>
      <w:r w:rsidRPr="00773F59">
        <w:rPr>
          <w:color w:val="000000"/>
        </w:rPr>
        <w:t xml:space="preserve">*múltipla resposta; ** dois casos de abertura pleural (4,4%), um caso de migração lateral do </w:t>
      </w:r>
      <w:r w:rsidR="00634D59" w:rsidRPr="00634D59">
        <w:rPr>
          <w:iCs/>
          <w:color w:val="000000"/>
        </w:rPr>
        <w:t>implante</w:t>
      </w:r>
      <w:r w:rsidRPr="00634D59">
        <w:rPr>
          <w:color w:val="000000"/>
        </w:rPr>
        <w:t xml:space="preserve"> </w:t>
      </w:r>
      <w:r w:rsidRPr="00773F59">
        <w:rPr>
          <w:color w:val="000000"/>
        </w:rPr>
        <w:t xml:space="preserve">(2,2%) e um caso de </w:t>
      </w:r>
      <w:r w:rsidRPr="00634D59">
        <w:rPr>
          <w:iCs/>
          <w:color w:val="000000"/>
        </w:rPr>
        <w:t>subsidenc</w:t>
      </w:r>
      <w:r w:rsidR="00634D59" w:rsidRPr="00634D59">
        <w:rPr>
          <w:iCs/>
          <w:color w:val="000000"/>
        </w:rPr>
        <w:t>ia</w:t>
      </w:r>
      <w:r w:rsidRPr="00634D59">
        <w:rPr>
          <w:color w:val="000000"/>
        </w:rPr>
        <w:t xml:space="preserve"> </w:t>
      </w:r>
      <w:r w:rsidRPr="00773F59">
        <w:rPr>
          <w:color w:val="000000"/>
        </w:rPr>
        <w:t>(2,2%).</w:t>
      </w:r>
    </w:p>
    <w:p w:rsidR="005D7D33" w:rsidRPr="00773F59" w:rsidRDefault="005D7D33" w:rsidP="00381EAE">
      <w:pPr>
        <w:spacing w:line="480" w:lineRule="auto"/>
        <w:jc w:val="both"/>
        <w:rPr>
          <w:color w:val="000000"/>
        </w:rPr>
      </w:pPr>
    </w:p>
    <w:p w:rsidR="00CA5044" w:rsidRPr="00773F59" w:rsidRDefault="00CA5044" w:rsidP="00773F59">
      <w:pPr>
        <w:spacing w:line="480" w:lineRule="auto"/>
        <w:ind w:firstLine="851"/>
        <w:jc w:val="both"/>
        <w:rPr>
          <w:color w:val="000000" w:themeColor="text1"/>
        </w:rPr>
      </w:pPr>
      <w:r w:rsidRPr="00773F59">
        <w:rPr>
          <w:color w:val="000000"/>
        </w:rPr>
        <w:t xml:space="preserve">Apenas quatro pacientes estudados (8,9%) apresentaram complicações associadas, das quais um caso (25%) foi de </w:t>
      </w:r>
      <w:r w:rsidR="00634D59">
        <w:rPr>
          <w:iCs/>
          <w:color w:val="000000"/>
        </w:rPr>
        <w:t>subsidê</w:t>
      </w:r>
      <w:r w:rsidRPr="00634D59">
        <w:rPr>
          <w:iCs/>
          <w:color w:val="000000"/>
        </w:rPr>
        <w:t>nc</w:t>
      </w:r>
      <w:r w:rsidR="00634D59" w:rsidRPr="00634D59">
        <w:rPr>
          <w:iCs/>
          <w:color w:val="000000"/>
        </w:rPr>
        <w:t>ia</w:t>
      </w:r>
      <w:r w:rsidRPr="00634D59">
        <w:rPr>
          <w:color w:val="000000"/>
        </w:rPr>
        <w:t>,</w:t>
      </w:r>
      <w:r w:rsidRPr="00773F59">
        <w:rPr>
          <w:color w:val="000000"/>
        </w:rPr>
        <w:t xml:space="preserve"> outro caso (25%) de migração lateral do </w:t>
      </w:r>
      <w:r w:rsidR="00634D59" w:rsidRPr="00634D59">
        <w:rPr>
          <w:iCs/>
          <w:color w:val="000000"/>
        </w:rPr>
        <w:t>implante</w:t>
      </w:r>
      <w:r w:rsidRPr="00634D59">
        <w:rPr>
          <w:color w:val="000000"/>
        </w:rPr>
        <w:t xml:space="preserve"> </w:t>
      </w:r>
      <w:r w:rsidRPr="00773F59">
        <w:rPr>
          <w:color w:val="000000"/>
        </w:rPr>
        <w:t>e dois casos (50%) de abertura pleural</w:t>
      </w:r>
      <w:r w:rsidR="00634D59">
        <w:rPr>
          <w:color w:val="000000"/>
        </w:rPr>
        <w:t xml:space="preserve"> </w:t>
      </w:r>
      <w:r w:rsidR="008A6210" w:rsidRPr="00773F59">
        <w:rPr>
          <w:color w:val="000000" w:themeColor="text1"/>
        </w:rPr>
        <w:t>na</w:t>
      </w:r>
      <w:r w:rsidR="00C66859" w:rsidRPr="00773F59">
        <w:rPr>
          <w:color w:val="000000" w:themeColor="text1"/>
        </w:rPr>
        <w:t xml:space="preserve"> abordagem torácica</w:t>
      </w:r>
      <w:r w:rsidRPr="00773F59">
        <w:rPr>
          <w:color w:val="000000" w:themeColor="text1"/>
        </w:rPr>
        <w:t>.</w:t>
      </w:r>
    </w:p>
    <w:p w:rsidR="006A60ED" w:rsidRPr="00773F59" w:rsidRDefault="00CA5044" w:rsidP="00F24990">
      <w:pPr>
        <w:spacing w:line="480" w:lineRule="auto"/>
        <w:ind w:firstLine="851"/>
        <w:jc w:val="both"/>
        <w:rPr>
          <w:color w:val="000000"/>
        </w:rPr>
      </w:pPr>
      <w:r w:rsidRPr="00773F59">
        <w:rPr>
          <w:color w:val="000000"/>
        </w:rPr>
        <w:t xml:space="preserve">A análise através de questionários demonstrou </w:t>
      </w:r>
      <w:r w:rsidR="00236A4E" w:rsidRPr="00773F59">
        <w:rPr>
          <w:color w:val="000000"/>
        </w:rPr>
        <w:t>diferença</w:t>
      </w:r>
      <w:r w:rsidRPr="00773F59">
        <w:rPr>
          <w:color w:val="000000"/>
        </w:rPr>
        <w:t xml:space="preserve"> significativa entre as </w:t>
      </w:r>
      <w:r w:rsidR="00236A4E" w:rsidRPr="00773F59">
        <w:rPr>
          <w:color w:val="000000"/>
        </w:rPr>
        <w:t>pontuações</w:t>
      </w:r>
      <w:r w:rsidR="00634D59">
        <w:rPr>
          <w:color w:val="000000"/>
        </w:rPr>
        <w:t xml:space="preserve"> </w:t>
      </w:r>
      <w:r w:rsidRPr="00773F59">
        <w:rPr>
          <w:color w:val="000000"/>
        </w:rPr>
        <w:t>pré e pós-operatórias em todas as escalas (Tabela 3). No caso do Oswestry, pacientes tiveram redução média de 39,2% no pós</w:t>
      </w:r>
      <w:r w:rsidR="008A6210" w:rsidRPr="00773F59">
        <w:rPr>
          <w:color w:val="000000"/>
        </w:rPr>
        <w:t>-</w:t>
      </w:r>
      <w:r w:rsidRPr="00773F59">
        <w:rPr>
          <w:color w:val="000000"/>
        </w:rPr>
        <w:t xml:space="preserve">operatório, quando comparado com os níveis basais (p&lt;0,001). Para o teste EVA, a </w:t>
      </w:r>
      <w:r w:rsidR="00236A4E" w:rsidRPr="00773F59">
        <w:rPr>
          <w:color w:val="000000"/>
        </w:rPr>
        <w:t>pontuação, em</w:t>
      </w:r>
      <w:r w:rsidRPr="00773F59">
        <w:rPr>
          <w:color w:val="000000" w:themeColor="text1"/>
        </w:rPr>
        <w:t xml:space="preserve"> mediana</w:t>
      </w:r>
      <w:r w:rsidR="00236A4E" w:rsidRPr="00773F59">
        <w:rPr>
          <w:color w:val="000000" w:themeColor="text1"/>
        </w:rPr>
        <w:t>,</w:t>
      </w:r>
      <w:r w:rsidR="00634D59">
        <w:rPr>
          <w:color w:val="000000" w:themeColor="text1"/>
        </w:rPr>
        <w:t xml:space="preserve"> </w:t>
      </w:r>
      <w:r w:rsidRPr="00773F59">
        <w:rPr>
          <w:color w:val="000000"/>
        </w:rPr>
        <w:t>no pós</w:t>
      </w:r>
      <w:r w:rsidR="00236A4E" w:rsidRPr="00773F59">
        <w:rPr>
          <w:color w:val="000000"/>
        </w:rPr>
        <w:t>-</w:t>
      </w:r>
      <w:r w:rsidRPr="00773F59">
        <w:rPr>
          <w:color w:val="000000"/>
        </w:rPr>
        <w:t xml:space="preserve">operatório foi a metade da </w:t>
      </w:r>
      <w:r w:rsidR="00236A4E" w:rsidRPr="00773F59">
        <w:rPr>
          <w:color w:val="000000"/>
        </w:rPr>
        <w:t>pontuação</w:t>
      </w:r>
      <w:r w:rsidRPr="00773F59">
        <w:rPr>
          <w:color w:val="000000"/>
        </w:rPr>
        <w:t xml:space="preserve"> no pré</w:t>
      </w:r>
      <w:r w:rsidR="00236A4E" w:rsidRPr="00773F59">
        <w:rPr>
          <w:color w:val="000000"/>
        </w:rPr>
        <w:t>-operatório</w:t>
      </w:r>
      <w:r w:rsidRPr="00773F59">
        <w:rPr>
          <w:color w:val="000000"/>
        </w:rPr>
        <w:t xml:space="preserve"> (redução de 50%; p&lt;0,001).</w:t>
      </w:r>
      <w:r w:rsidR="00634D59">
        <w:rPr>
          <w:color w:val="000000"/>
        </w:rPr>
        <w:t xml:space="preserve"> </w:t>
      </w:r>
      <w:r w:rsidR="00236A4E" w:rsidRPr="00773F59">
        <w:rPr>
          <w:color w:val="000000"/>
        </w:rPr>
        <w:t xml:space="preserve">Ademais, o valor médio do ângulo da lordose (Figura 2) teve aumento de 26,3% no pós-operatório em relação ao valor basal (p&lt;0,001). </w:t>
      </w:r>
    </w:p>
    <w:p w:rsidR="00F24990" w:rsidRDefault="00F24990" w:rsidP="00F24990">
      <w:pPr>
        <w:pStyle w:val="Legenda"/>
        <w:keepNext/>
        <w:spacing w:line="480" w:lineRule="auto"/>
        <w:rPr>
          <w:sz w:val="24"/>
          <w:szCs w:val="24"/>
        </w:rPr>
      </w:pPr>
      <w:bookmarkStart w:id="42" w:name="_Toc64548830"/>
    </w:p>
    <w:p w:rsidR="00CA5044" w:rsidRPr="00773F59" w:rsidRDefault="00CA5044" w:rsidP="00F24990">
      <w:pPr>
        <w:pStyle w:val="Legenda"/>
        <w:keepNext/>
        <w:spacing w:line="480" w:lineRule="auto"/>
        <w:rPr>
          <w:sz w:val="24"/>
          <w:szCs w:val="24"/>
        </w:rPr>
      </w:pPr>
      <w:r w:rsidRPr="00773F59">
        <w:rPr>
          <w:sz w:val="24"/>
          <w:szCs w:val="24"/>
        </w:rPr>
        <w:t xml:space="preserve">TABELA </w:t>
      </w:r>
      <w:r w:rsidR="00C774CF" w:rsidRPr="00773F59">
        <w:rPr>
          <w:sz w:val="24"/>
          <w:szCs w:val="24"/>
        </w:rPr>
        <w:fldChar w:fldCharType="begin"/>
      </w:r>
      <w:r w:rsidRPr="00773F59">
        <w:rPr>
          <w:sz w:val="24"/>
          <w:szCs w:val="24"/>
        </w:rPr>
        <w:instrText xml:space="preserve"> SEQ Tabela \* ARABIC </w:instrText>
      </w:r>
      <w:r w:rsidR="00C774CF" w:rsidRPr="00773F59">
        <w:rPr>
          <w:sz w:val="24"/>
          <w:szCs w:val="24"/>
        </w:rPr>
        <w:fldChar w:fldCharType="separate"/>
      </w:r>
      <w:r w:rsidRPr="00773F59">
        <w:rPr>
          <w:noProof/>
          <w:sz w:val="24"/>
          <w:szCs w:val="24"/>
        </w:rPr>
        <w:t>3</w:t>
      </w:r>
      <w:r w:rsidR="00C774CF" w:rsidRPr="00773F59">
        <w:rPr>
          <w:sz w:val="24"/>
          <w:szCs w:val="24"/>
        </w:rPr>
        <w:fldChar w:fldCharType="end"/>
      </w:r>
      <w:r w:rsidRPr="00773F59">
        <w:rPr>
          <w:sz w:val="24"/>
          <w:szCs w:val="24"/>
        </w:rPr>
        <w:t>– PARÂMETROS CLÍNICOS E RADIOLÓGICOS (n=45)</w:t>
      </w:r>
      <w:bookmarkEnd w:id="42"/>
    </w:p>
    <w:tbl>
      <w:tblPr>
        <w:tblW w:w="9022" w:type="dxa"/>
        <w:tblLayout w:type="fixed"/>
        <w:tblLook w:val="04A0"/>
      </w:tblPr>
      <w:tblGrid>
        <w:gridCol w:w="1805"/>
        <w:gridCol w:w="1805"/>
        <w:gridCol w:w="1804"/>
        <w:gridCol w:w="1804"/>
        <w:gridCol w:w="1804"/>
      </w:tblGrid>
      <w:tr w:rsidR="00CA5044" w:rsidRPr="00773F59" w:rsidTr="00A1609D">
        <w:trPr>
          <w:trHeight w:val="320"/>
        </w:trPr>
        <w:tc>
          <w:tcPr>
            <w:tcW w:w="10206" w:type="dxa"/>
            <w:vMerge w:val="restart"/>
            <w:tcBorders>
              <w:top w:val="single" w:sz="4" w:space="0" w:color="auto"/>
              <w:bottom w:val="single" w:sz="4" w:space="0" w:color="auto"/>
              <w:right w:val="nil"/>
            </w:tcBorders>
            <w:shd w:val="clear" w:color="auto" w:fill="auto"/>
            <w:noWrap/>
            <w:vAlign w:val="center"/>
            <w:hideMark/>
          </w:tcPr>
          <w:p w:rsidR="00CA5044" w:rsidRPr="00773F59" w:rsidRDefault="00CA5044" w:rsidP="00773F59">
            <w:pPr>
              <w:spacing w:line="480" w:lineRule="auto"/>
              <w:rPr>
                <w:b/>
                <w:bCs/>
                <w:color w:val="000000"/>
              </w:rPr>
            </w:pPr>
            <w:r w:rsidRPr="00773F59">
              <w:rPr>
                <w:b/>
                <w:bCs/>
                <w:color w:val="000000"/>
              </w:rPr>
              <w:t>Teste</w:t>
            </w:r>
          </w:p>
        </w:tc>
        <w:tc>
          <w:tcPr>
            <w:tcW w:w="10206" w:type="dxa"/>
            <w:tcBorders>
              <w:top w:val="single" w:sz="4" w:space="0" w:color="auto"/>
              <w:left w:val="nil"/>
              <w:bottom w:val="single" w:sz="4" w:space="0" w:color="auto"/>
              <w:right w:val="nil"/>
            </w:tcBorders>
            <w:shd w:val="clear" w:color="auto" w:fill="auto"/>
            <w:noWrap/>
            <w:hideMark/>
          </w:tcPr>
          <w:p w:rsidR="00CA5044" w:rsidRPr="00773F59" w:rsidRDefault="00CA5044" w:rsidP="00773F59">
            <w:pPr>
              <w:spacing w:line="480" w:lineRule="auto"/>
              <w:rPr>
                <w:b/>
                <w:bCs/>
                <w:color w:val="000000"/>
              </w:rPr>
            </w:pPr>
            <w:r w:rsidRPr="00773F59">
              <w:rPr>
                <w:b/>
                <w:bCs/>
                <w:color w:val="000000"/>
              </w:rPr>
              <w:t>Pré-operatório</w:t>
            </w:r>
          </w:p>
        </w:tc>
        <w:tc>
          <w:tcPr>
            <w:tcW w:w="10206" w:type="dxa"/>
            <w:tcBorders>
              <w:top w:val="single" w:sz="4" w:space="0" w:color="auto"/>
              <w:left w:val="nil"/>
              <w:bottom w:val="single" w:sz="4" w:space="0" w:color="auto"/>
              <w:right w:val="nil"/>
            </w:tcBorders>
            <w:shd w:val="clear" w:color="auto" w:fill="auto"/>
            <w:noWrap/>
            <w:hideMark/>
          </w:tcPr>
          <w:p w:rsidR="00CA5044" w:rsidRPr="00773F59" w:rsidRDefault="00CA5044" w:rsidP="00773F59">
            <w:pPr>
              <w:spacing w:line="480" w:lineRule="auto"/>
              <w:rPr>
                <w:b/>
                <w:bCs/>
                <w:color w:val="000000"/>
              </w:rPr>
            </w:pPr>
            <w:r w:rsidRPr="00773F59">
              <w:rPr>
                <w:b/>
                <w:bCs/>
                <w:color w:val="000000"/>
              </w:rPr>
              <w:t>Pós-operatório</w:t>
            </w:r>
          </w:p>
        </w:tc>
        <w:tc>
          <w:tcPr>
            <w:tcW w:w="10206" w:type="dxa"/>
            <w:vMerge w:val="restart"/>
            <w:tcBorders>
              <w:top w:val="single" w:sz="4" w:space="0" w:color="auto"/>
              <w:left w:val="nil"/>
              <w:bottom w:val="single" w:sz="4" w:space="0" w:color="A5A5A5"/>
              <w:right w:val="nil"/>
            </w:tcBorders>
            <w:shd w:val="clear" w:color="auto" w:fill="auto"/>
          </w:tcPr>
          <w:p w:rsidR="00CA5044" w:rsidRPr="00773F59" w:rsidRDefault="00CA5044" w:rsidP="00773F59">
            <w:pPr>
              <w:spacing w:line="480" w:lineRule="auto"/>
              <w:rPr>
                <w:b/>
                <w:bCs/>
                <w:color w:val="000000"/>
              </w:rPr>
            </w:pPr>
            <w:r w:rsidRPr="00773F59">
              <w:rPr>
                <w:b/>
                <w:bCs/>
                <w:color w:val="000000"/>
              </w:rPr>
              <w:t>Diferença (%)</w:t>
            </w:r>
          </w:p>
        </w:tc>
        <w:tc>
          <w:tcPr>
            <w:tcW w:w="10206" w:type="dxa"/>
            <w:vMerge w:val="restart"/>
            <w:tcBorders>
              <w:top w:val="single" w:sz="4" w:space="0" w:color="auto"/>
              <w:left w:val="nil"/>
              <w:bottom w:val="single" w:sz="4" w:space="0" w:color="A5A5A5"/>
            </w:tcBorders>
            <w:shd w:val="clear" w:color="auto" w:fill="auto"/>
            <w:noWrap/>
            <w:vAlign w:val="center"/>
            <w:hideMark/>
          </w:tcPr>
          <w:p w:rsidR="00CA5044" w:rsidRPr="00773F59" w:rsidRDefault="00CA5044" w:rsidP="00773F59">
            <w:pPr>
              <w:spacing w:line="480" w:lineRule="auto"/>
              <w:rPr>
                <w:b/>
                <w:bCs/>
                <w:color w:val="000000"/>
              </w:rPr>
            </w:pPr>
            <w:r w:rsidRPr="00773F59">
              <w:rPr>
                <w:b/>
                <w:bCs/>
                <w:color w:val="000000"/>
              </w:rPr>
              <w:t>p-valor</w:t>
            </w:r>
          </w:p>
        </w:tc>
      </w:tr>
      <w:tr w:rsidR="00CA5044" w:rsidRPr="00773F59" w:rsidTr="00A1609D">
        <w:trPr>
          <w:trHeight w:val="320"/>
        </w:trPr>
        <w:tc>
          <w:tcPr>
            <w:tcW w:w="10206" w:type="dxa"/>
            <w:vMerge/>
            <w:tcBorders>
              <w:top w:val="single" w:sz="4" w:space="0" w:color="auto"/>
              <w:bottom w:val="single" w:sz="4" w:space="0" w:color="auto"/>
            </w:tcBorders>
            <w:shd w:val="clear" w:color="auto" w:fill="auto"/>
            <w:noWrap/>
            <w:hideMark/>
          </w:tcPr>
          <w:p w:rsidR="00CA5044" w:rsidRPr="00773F59" w:rsidRDefault="00CA5044" w:rsidP="00773F59">
            <w:pPr>
              <w:spacing w:line="480" w:lineRule="auto"/>
              <w:rPr>
                <w:b/>
                <w:bCs/>
                <w:color w:val="000000"/>
              </w:rPr>
            </w:pPr>
          </w:p>
        </w:tc>
        <w:tc>
          <w:tcPr>
            <w:tcW w:w="10206" w:type="dxa"/>
            <w:tcBorders>
              <w:top w:val="single" w:sz="4" w:space="0" w:color="auto"/>
              <w:bottom w:val="single" w:sz="4" w:space="0" w:color="auto"/>
            </w:tcBorders>
            <w:shd w:val="clear" w:color="auto" w:fill="auto"/>
            <w:noWrap/>
            <w:hideMark/>
          </w:tcPr>
          <w:p w:rsidR="00CA5044" w:rsidRPr="00773F59" w:rsidRDefault="00CA5044" w:rsidP="00773F59">
            <w:pPr>
              <w:spacing w:line="480" w:lineRule="auto"/>
              <w:rPr>
                <w:bCs/>
                <w:color w:val="000000"/>
              </w:rPr>
            </w:pPr>
            <w:r w:rsidRPr="00773F59">
              <w:rPr>
                <w:bCs/>
                <w:color w:val="000000"/>
              </w:rPr>
              <w:t>Média ± DP</w:t>
            </w:r>
          </w:p>
        </w:tc>
        <w:tc>
          <w:tcPr>
            <w:tcW w:w="10206" w:type="dxa"/>
            <w:tcBorders>
              <w:top w:val="single" w:sz="4" w:space="0" w:color="auto"/>
              <w:bottom w:val="single" w:sz="4" w:space="0" w:color="auto"/>
            </w:tcBorders>
            <w:shd w:val="clear" w:color="auto" w:fill="auto"/>
            <w:noWrap/>
            <w:hideMark/>
          </w:tcPr>
          <w:p w:rsidR="00CA5044" w:rsidRPr="00773F59" w:rsidRDefault="00CA5044" w:rsidP="00773F59">
            <w:pPr>
              <w:spacing w:line="480" w:lineRule="auto"/>
              <w:rPr>
                <w:bCs/>
                <w:color w:val="000000"/>
              </w:rPr>
            </w:pPr>
            <w:r w:rsidRPr="00773F59">
              <w:rPr>
                <w:bCs/>
                <w:color w:val="000000"/>
              </w:rPr>
              <w:t>Média ± DP</w:t>
            </w:r>
          </w:p>
        </w:tc>
        <w:tc>
          <w:tcPr>
            <w:tcW w:w="10206" w:type="dxa"/>
            <w:vMerge/>
            <w:tcBorders>
              <w:bottom w:val="single" w:sz="4" w:space="0" w:color="auto"/>
            </w:tcBorders>
            <w:shd w:val="clear" w:color="auto" w:fill="auto"/>
          </w:tcPr>
          <w:p w:rsidR="00CA5044" w:rsidRPr="00773F59" w:rsidRDefault="00CA5044" w:rsidP="00773F59">
            <w:pPr>
              <w:spacing w:line="480" w:lineRule="auto"/>
              <w:rPr>
                <w:bCs/>
                <w:color w:val="000000"/>
              </w:rPr>
            </w:pPr>
          </w:p>
        </w:tc>
        <w:tc>
          <w:tcPr>
            <w:tcW w:w="10206" w:type="dxa"/>
            <w:vMerge/>
            <w:tcBorders>
              <w:bottom w:val="single" w:sz="4" w:space="0" w:color="auto"/>
            </w:tcBorders>
            <w:shd w:val="clear" w:color="auto" w:fill="auto"/>
            <w:noWrap/>
            <w:hideMark/>
          </w:tcPr>
          <w:p w:rsidR="00CA5044" w:rsidRPr="00773F59" w:rsidRDefault="00CA5044" w:rsidP="00773F59">
            <w:pPr>
              <w:spacing w:line="480" w:lineRule="auto"/>
              <w:rPr>
                <w:bCs/>
                <w:color w:val="000000"/>
              </w:rPr>
            </w:pPr>
          </w:p>
        </w:tc>
      </w:tr>
      <w:tr w:rsidR="00CA5044" w:rsidRPr="00773F59" w:rsidTr="00A1609D">
        <w:trPr>
          <w:trHeight w:val="320"/>
        </w:trPr>
        <w:tc>
          <w:tcPr>
            <w:tcW w:w="10206" w:type="dxa"/>
            <w:tcBorders>
              <w:top w:val="single" w:sz="4" w:space="0" w:color="auto"/>
            </w:tcBorders>
            <w:shd w:val="clear" w:color="auto" w:fill="auto"/>
            <w:noWrap/>
            <w:hideMark/>
          </w:tcPr>
          <w:p w:rsidR="00CA5044" w:rsidRPr="00773F59" w:rsidRDefault="00CA5044" w:rsidP="00773F59">
            <w:pPr>
              <w:spacing w:line="480" w:lineRule="auto"/>
              <w:rPr>
                <w:b/>
                <w:bCs/>
                <w:color w:val="000000"/>
              </w:rPr>
            </w:pPr>
            <w:r w:rsidRPr="00773F59">
              <w:rPr>
                <w:b/>
                <w:bCs/>
                <w:color w:val="000000"/>
              </w:rPr>
              <w:t>Oswestry (%)</w:t>
            </w:r>
          </w:p>
        </w:tc>
        <w:tc>
          <w:tcPr>
            <w:tcW w:w="10206" w:type="dxa"/>
            <w:tcBorders>
              <w:top w:val="single" w:sz="4" w:space="0" w:color="auto"/>
            </w:tcBorders>
            <w:shd w:val="clear" w:color="auto" w:fill="auto"/>
            <w:noWrap/>
            <w:hideMark/>
          </w:tcPr>
          <w:p w:rsidR="00CA5044" w:rsidRPr="00773F59" w:rsidRDefault="00CA5044" w:rsidP="00773F59">
            <w:pPr>
              <w:spacing w:line="480" w:lineRule="auto"/>
              <w:rPr>
                <w:color w:val="000000"/>
              </w:rPr>
            </w:pPr>
            <w:r w:rsidRPr="00773F59">
              <w:rPr>
                <w:color w:val="000000"/>
              </w:rPr>
              <w:t>62,0 ± 13,7</w:t>
            </w:r>
          </w:p>
        </w:tc>
        <w:tc>
          <w:tcPr>
            <w:tcW w:w="10206" w:type="dxa"/>
            <w:tcBorders>
              <w:top w:val="single" w:sz="4" w:space="0" w:color="auto"/>
            </w:tcBorders>
            <w:shd w:val="clear" w:color="auto" w:fill="auto"/>
            <w:noWrap/>
            <w:hideMark/>
          </w:tcPr>
          <w:p w:rsidR="00CA5044" w:rsidRPr="00773F59" w:rsidRDefault="00CA5044" w:rsidP="00773F59">
            <w:pPr>
              <w:spacing w:line="480" w:lineRule="auto"/>
              <w:rPr>
                <w:color w:val="000000"/>
              </w:rPr>
            </w:pPr>
            <w:r w:rsidRPr="00773F59">
              <w:rPr>
                <w:color w:val="000000"/>
              </w:rPr>
              <w:t>37,7 ± 14,9</w:t>
            </w:r>
          </w:p>
        </w:tc>
        <w:tc>
          <w:tcPr>
            <w:tcW w:w="10206" w:type="dxa"/>
            <w:tcBorders>
              <w:top w:val="single" w:sz="4" w:space="0" w:color="auto"/>
            </w:tcBorders>
            <w:shd w:val="clear" w:color="auto" w:fill="auto"/>
          </w:tcPr>
          <w:p w:rsidR="00CA5044" w:rsidRPr="00773F59" w:rsidRDefault="00CA5044" w:rsidP="00773F59">
            <w:pPr>
              <w:spacing w:line="480" w:lineRule="auto"/>
              <w:rPr>
                <w:color w:val="000000"/>
              </w:rPr>
            </w:pPr>
            <w:r w:rsidRPr="00773F59">
              <w:rPr>
                <w:color w:val="000000"/>
              </w:rPr>
              <w:t>-39,2%</w:t>
            </w:r>
          </w:p>
        </w:tc>
        <w:tc>
          <w:tcPr>
            <w:tcW w:w="10206" w:type="dxa"/>
            <w:tcBorders>
              <w:top w:val="single" w:sz="4" w:space="0" w:color="auto"/>
            </w:tcBorders>
            <w:shd w:val="clear" w:color="auto" w:fill="auto"/>
            <w:noWrap/>
            <w:hideMark/>
          </w:tcPr>
          <w:p w:rsidR="00CA5044" w:rsidRPr="00773F59" w:rsidRDefault="00CA5044" w:rsidP="00773F59">
            <w:pPr>
              <w:spacing w:line="480" w:lineRule="auto"/>
              <w:rPr>
                <w:color w:val="000000"/>
              </w:rPr>
            </w:pPr>
            <w:r w:rsidRPr="00773F59">
              <w:rPr>
                <w:color w:val="000000"/>
              </w:rPr>
              <w:t>&lt;0,001</w:t>
            </w:r>
          </w:p>
        </w:tc>
      </w:tr>
      <w:tr w:rsidR="00CA5044" w:rsidRPr="00773F59" w:rsidTr="00A1609D">
        <w:trPr>
          <w:trHeight w:val="320"/>
        </w:trPr>
        <w:tc>
          <w:tcPr>
            <w:tcW w:w="10206" w:type="dxa"/>
            <w:shd w:val="clear" w:color="auto" w:fill="auto"/>
            <w:noWrap/>
            <w:hideMark/>
          </w:tcPr>
          <w:p w:rsidR="00CA5044" w:rsidRPr="00773F59" w:rsidRDefault="00CA5044" w:rsidP="00773F59">
            <w:pPr>
              <w:spacing w:line="480" w:lineRule="auto"/>
              <w:rPr>
                <w:b/>
                <w:bCs/>
                <w:color w:val="000000"/>
              </w:rPr>
            </w:pPr>
            <w:r w:rsidRPr="00773F59">
              <w:rPr>
                <w:b/>
                <w:bCs/>
                <w:color w:val="000000"/>
              </w:rPr>
              <w:t>EVA (0-10)*</w:t>
            </w:r>
          </w:p>
        </w:tc>
        <w:tc>
          <w:tcPr>
            <w:tcW w:w="10206" w:type="dxa"/>
            <w:shd w:val="clear" w:color="auto" w:fill="auto"/>
            <w:noWrap/>
            <w:hideMark/>
          </w:tcPr>
          <w:p w:rsidR="00CA5044" w:rsidRPr="00773F59" w:rsidRDefault="00CA5044" w:rsidP="00773F59">
            <w:pPr>
              <w:spacing w:line="480" w:lineRule="auto"/>
              <w:rPr>
                <w:color w:val="000000"/>
              </w:rPr>
            </w:pPr>
            <w:r w:rsidRPr="00773F59">
              <w:rPr>
                <w:color w:val="000000"/>
              </w:rPr>
              <w:t>8,2 ± 1,3 (8)</w:t>
            </w:r>
          </w:p>
        </w:tc>
        <w:tc>
          <w:tcPr>
            <w:tcW w:w="10206" w:type="dxa"/>
            <w:shd w:val="clear" w:color="auto" w:fill="auto"/>
            <w:noWrap/>
            <w:hideMark/>
          </w:tcPr>
          <w:p w:rsidR="00CA5044" w:rsidRPr="00773F59" w:rsidRDefault="00CA5044" w:rsidP="00773F59">
            <w:pPr>
              <w:spacing w:line="480" w:lineRule="auto"/>
              <w:rPr>
                <w:color w:val="000000"/>
              </w:rPr>
            </w:pPr>
            <w:r w:rsidRPr="00773F59">
              <w:rPr>
                <w:color w:val="000000"/>
              </w:rPr>
              <w:t>4,2 ± 2,0 (4)</w:t>
            </w:r>
          </w:p>
        </w:tc>
        <w:tc>
          <w:tcPr>
            <w:tcW w:w="10206" w:type="dxa"/>
            <w:shd w:val="clear" w:color="auto" w:fill="auto"/>
          </w:tcPr>
          <w:p w:rsidR="00CA5044" w:rsidRPr="00773F59" w:rsidRDefault="00CA5044" w:rsidP="00773F59">
            <w:pPr>
              <w:spacing w:line="480" w:lineRule="auto"/>
              <w:rPr>
                <w:color w:val="000000"/>
              </w:rPr>
            </w:pPr>
            <w:r w:rsidRPr="00773F59">
              <w:rPr>
                <w:color w:val="000000"/>
              </w:rPr>
              <w:t>-50,0%</w:t>
            </w:r>
          </w:p>
        </w:tc>
        <w:tc>
          <w:tcPr>
            <w:tcW w:w="10206" w:type="dxa"/>
            <w:shd w:val="clear" w:color="auto" w:fill="auto"/>
            <w:noWrap/>
            <w:hideMark/>
          </w:tcPr>
          <w:p w:rsidR="00CA5044" w:rsidRPr="00773F59" w:rsidRDefault="00CA5044" w:rsidP="00773F59">
            <w:pPr>
              <w:spacing w:line="480" w:lineRule="auto"/>
              <w:rPr>
                <w:color w:val="000000"/>
              </w:rPr>
            </w:pPr>
            <w:r w:rsidRPr="00773F59">
              <w:rPr>
                <w:color w:val="000000"/>
              </w:rPr>
              <w:t>&lt;0,001</w:t>
            </w:r>
          </w:p>
        </w:tc>
      </w:tr>
      <w:tr w:rsidR="00CA5044" w:rsidRPr="00773F59" w:rsidTr="00A1609D">
        <w:trPr>
          <w:trHeight w:val="320"/>
        </w:trPr>
        <w:tc>
          <w:tcPr>
            <w:tcW w:w="10206" w:type="dxa"/>
            <w:tcBorders>
              <w:bottom w:val="single" w:sz="4" w:space="0" w:color="auto"/>
            </w:tcBorders>
            <w:shd w:val="clear" w:color="auto" w:fill="auto"/>
            <w:noWrap/>
            <w:hideMark/>
          </w:tcPr>
          <w:p w:rsidR="00CA5044" w:rsidRPr="00773F59" w:rsidRDefault="00CA5044" w:rsidP="00773F59">
            <w:pPr>
              <w:spacing w:line="480" w:lineRule="auto"/>
              <w:rPr>
                <w:b/>
                <w:bCs/>
                <w:color w:val="000000"/>
              </w:rPr>
            </w:pPr>
            <w:r w:rsidRPr="00773F59">
              <w:rPr>
                <w:b/>
                <w:bCs/>
                <w:color w:val="000000"/>
              </w:rPr>
              <w:lastRenderedPageBreak/>
              <w:t>Lordose (º)</w:t>
            </w:r>
          </w:p>
        </w:tc>
        <w:tc>
          <w:tcPr>
            <w:tcW w:w="10206" w:type="dxa"/>
            <w:tcBorders>
              <w:bottom w:val="single" w:sz="4" w:space="0" w:color="auto"/>
            </w:tcBorders>
            <w:shd w:val="clear" w:color="auto" w:fill="auto"/>
            <w:noWrap/>
            <w:hideMark/>
          </w:tcPr>
          <w:p w:rsidR="00CA5044" w:rsidRPr="00773F59" w:rsidRDefault="00CA5044" w:rsidP="00773F59">
            <w:pPr>
              <w:spacing w:line="480" w:lineRule="auto"/>
              <w:rPr>
                <w:color w:val="000000"/>
              </w:rPr>
            </w:pPr>
            <w:r w:rsidRPr="00773F59">
              <w:rPr>
                <w:color w:val="000000"/>
              </w:rPr>
              <w:t>35,3 ± 17,2</w:t>
            </w:r>
          </w:p>
        </w:tc>
        <w:tc>
          <w:tcPr>
            <w:tcW w:w="10206" w:type="dxa"/>
            <w:tcBorders>
              <w:bottom w:val="single" w:sz="4" w:space="0" w:color="auto"/>
            </w:tcBorders>
            <w:shd w:val="clear" w:color="auto" w:fill="auto"/>
            <w:noWrap/>
            <w:hideMark/>
          </w:tcPr>
          <w:p w:rsidR="00CA5044" w:rsidRPr="00773F59" w:rsidRDefault="00CA5044" w:rsidP="00773F59">
            <w:pPr>
              <w:spacing w:line="480" w:lineRule="auto"/>
              <w:rPr>
                <w:color w:val="000000"/>
              </w:rPr>
            </w:pPr>
            <w:r w:rsidRPr="00773F59">
              <w:rPr>
                <w:color w:val="000000"/>
              </w:rPr>
              <w:t>44,6 ± 16,3</w:t>
            </w:r>
          </w:p>
        </w:tc>
        <w:tc>
          <w:tcPr>
            <w:tcW w:w="10206" w:type="dxa"/>
            <w:tcBorders>
              <w:bottom w:val="single" w:sz="4" w:space="0" w:color="auto"/>
            </w:tcBorders>
            <w:shd w:val="clear" w:color="auto" w:fill="auto"/>
          </w:tcPr>
          <w:p w:rsidR="00CA5044" w:rsidRPr="00773F59" w:rsidRDefault="00CA5044" w:rsidP="00773F59">
            <w:pPr>
              <w:spacing w:line="480" w:lineRule="auto"/>
              <w:rPr>
                <w:color w:val="000000"/>
              </w:rPr>
            </w:pPr>
            <w:r w:rsidRPr="00773F59">
              <w:rPr>
                <w:color w:val="000000"/>
              </w:rPr>
              <w:t>+26,3%</w:t>
            </w:r>
          </w:p>
        </w:tc>
        <w:tc>
          <w:tcPr>
            <w:tcW w:w="10206" w:type="dxa"/>
            <w:tcBorders>
              <w:bottom w:val="single" w:sz="4" w:space="0" w:color="auto"/>
            </w:tcBorders>
            <w:shd w:val="clear" w:color="auto" w:fill="auto"/>
            <w:noWrap/>
            <w:hideMark/>
          </w:tcPr>
          <w:p w:rsidR="00CA5044" w:rsidRPr="00773F59" w:rsidRDefault="00CA5044" w:rsidP="00773F59">
            <w:pPr>
              <w:spacing w:line="480" w:lineRule="auto"/>
              <w:rPr>
                <w:color w:val="000000"/>
              </w:rPr>
            </w:pPr>
            <w:r w:rsidRPr="00773F59">
              <w:rPr>
                <w:color w:val="000000"/>
              </w:rPr>
              <w:t>&lt;0,001</w:t>
            </w:r>
          </w:p>
        </w:tc>
      </w:tr>
    </w:tbl>
    <w:p w:rsidR="00CA5044" w:rsidRPr="00773F59" w:rsidRDefault="00CA5044" w:rsidP="00773F59">
      <w:pPr>
        <w:tabs>
          <w:tab w:val="left" w:leader="dot" w:pos="8647"/>
        </w:tabs>
        <w:snapToGrid w:val="0"/>
        <w:spacing w:line="480" w:lineRule="auto"/>
        <w:ind w:right="425"/>
        <w:jc w:val="both"/>
        <w:rPr>
          <w:color w:val="000000"/>
        </w:rPr>
      </w:pPr>
      <w:r w:rsidRPr="00773F59">
        <w:rPr>
          <w:color w:val="000000"/>
        </w:rPr>
        <w:t>* devido a assimetria, foi descrita também a mediana entre parênteses</w:t>
      </w:r>
    </w:p>
    <w:p w:rsidR="00CA5044" w:rsidRPr="001E165F" w:rsidRDefault="00CA5044" w:rsidP="001E165F">
      <w:pPr>
        <w:pStyle w:val="Legenda"/>
        <w:keepNext/>
        <w:spacing w:line="480" w:lineRule="auto"/>
        <w:jc w:val="both"/>
        <w:rPr>
          <w:sz w:val="24"/>
          <w:szCs w:val="24"/>
        </w:rPr>
      </w:pPr>
      <w:bookmarkStart w:id="43" w:name="_Toc64879025"/>
      <w:r w:rsidRPr="00773F59">
        <w:rPr>
          <w:sz w:val="24"/>
          <w:szCs w:val="24"/>
        </w:rPr>
        <w:t>FIGURA</w:t>
      </w:r>
      <w:r w:rsidR="00236A4E" w:rsidRPr="00773F59">
        <w:rPr>
          <w:sz w:val="24"/>
          <w:szCs w:val="24"/>
        </w:rPr>
        <w:t xml:space="preserve"> 2</w:t>
      </w:r>
      <w:r w:rsidR="00B91BB8">
        <w:rPr>
          <w:sz w:val="24"/>
          <w:szCs w:val="24"/>
        </w:rPr>
        <w:t xml:space="preserve">–DEMONSTRAÇÃO DO </w:t>
      </w:r>
      <w:r w:rsidRPr="00773F59">
        <w:rPr>
          <w:sz w:val="24"/>
          <w:szCs w:val="24"/>
        </w:rPr>
        <w:t>AUMENTO DA LORDOSE LOMBAR</w:t>
      </w:r>
      <w:r w:rsidR="00B91BB8">
        <w:rPr>
          <w:sz w:val="24"/>
          <w:szCs w:val="24"/>
        </w:rPr>
        <w:t xml:space="preserve"> ATRAVÉS DO ÂNGULO DE COBB</w:t>
      </w:r>
      <w:r w:rsidRPr="00773F59">
        <w:rPr>
          <w:sz w:val="24"/>
          <w:szCs w:val="24"/>
        </w:rPr>
        <w:t xml:space="preserve"> APÓS A CIRURGIA.</w:t>
      </w:r>
      <w:bookmarkEnd w:id="43"/>
    </w:p>
    <w:p w:rsidR="00CA5044" w:rsidRPr="00773F59" w:rsidRDefault="001E165F" w:rsidP="001E165F">
      <w:pPr>
        <w:tabs>
          <w:tab w:val="left" w:leader="dot" w:pos="8647"/>
        </w:tabs>
        <w:snapToGrid w:val="0"/>
        <w:spacing w:line="480" w:lineRule="auto"/>
        <w:ind w:right="425"/>
        <w:jc w:val="center"/>
        <w:rPr>
          <w:bCs/>
          <w:color w:val="000000"/>
        </w:rPr>
      </w:pPr>
      <w:r>
        <w:rPr>
          <w:bCs/>
          <w:noProof/>
          <w:color w:val="000000"/>
        </w:rPr>
        <w:drawing>
          <wp:inline distT="0" distB="0" distL="0" distR="0">
            <wp:extent cx="3946617" cy="2866490"/>
            <wp:effectExtent l="0" t="0" r="3175" b="3810"/>
            <wp:docPr id="5" name="Imagem 5" descr="Uma imagem contendo chapa, pequeno, plástico, che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chapa, pequeno, plástico, cheio&#10;&#10;Descrição gerada automaticament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76211" cy="2887985"/>
                    </a:xfrm>
                    <a:prstGeom prst="rect">
                      <a:avLst/>
                    </a:prstGeom>
                  </pic:spPr>
                </pic:pic>
              </a:graphicData>
            </a:graphic>
          </wp:inline>
        </w:drawing>
      </w:r>
    </w:p>
    <w:p w:rsidR="00236A4E" w:rsidRPr="00773F59" w:rsidRDefault="00CA5044" w:rsidP="00773F59">
      <w:pPr>
        <w:tabs>
          <w:tab w:val="left" w:leader="dot" w:pos="8647"/>
        </w:tabs>
        <w:snapToGrid w:val="0"/>
        <w:spacing w:line="480" w:lineRule="auto"/>
        <w:ind w:right="425"/>
        <w:jc w:val="both"/>
        <w:rPr>
          <w:bCs/>
          <w:color w:val="000000"/>
        </w:rPr>
      </w:pPr>
      <w:r w:rsidRPr="00773F59">
        <w:rPr>
          <w:bCs/>
          <w:color w:val="000000"/>
        </w:rPr>
        <w:t>(A) Imagem de radiografias pré-operatório e (B) de 12 meses após a cirurgia mostrando exemplo de caso com aumento da lordose lombar.</w:t>
      </w:r>
    </w:p>
    <w:p w:rsidR="00364174" w:rsidRPr="00773F59" w:rsidRDefault="00364174" w:rsidP="00773F59">
      <w:pPr>
        <w:tabs>
          <w:tab w:val="left" w:leader="dot" w:pos="8647"/>
        </w:tabs>
        <w:snapToGrid w:val="0"/>
        <w:spacing w:line="480" w:lineRule="auto"/>
        <w:ind w:right="425"/>
        <w:jc w:val="both"/>
        <w:rPr>
          <w:bCs/>
          <w:color w:val="000000"/>
        </w:rPr>
      </w:pPr>
    </w:p>
    <w:p w:rsidR="008A6210" w:rsidRPr="00773F59" w:rsidRDefault="00CA5044" w:rsidP="00773F59">
      <w:pPr>
        <w:spacing w:line="480" w:lineRule="auto"/>
        <w:ind w:firstLine="851"/>
        <w:jc w:val="both"/>
        <w:rPr>
          <w:bCs/>
          <w:color w:val="000000"/>
        </w:rPr>
      </w:pPr>
      <w:r w:rsidRPr="00773F59">
        <w:rPr>
          <w:bCs/>
          <w:color w:val="000000"/>
        </w:rPr>
        <w:t xml:space="preserve">Através </w:t>
      </w:r>
      <w:r w:rsidRPr="00773F59">
        <w:rPr>
          <w:bCs/>
          <w:color w:val="000000" w:themeColor="text1"/>
        </w:rPr>
        <w:t xml:space="preserve">da Figura </w:t>
      </w:r>
      <w:r w:rsidR="00236A4E" w:rsidRPr="00773F59">
        <w:rPr>
          <w:bCs/>
          <w:color w:val="000000" w:themeColor="text1"/>
        </w:rPr>
        <w:t>3</w:t>
      </w:r>
      <w:r w:rsidRPr="00773F59">
        <w:rPr>
          <w:bCs/>
          <w:color w:val="000000" w:themeColor="text1"/>
        </w:rPr>
        <w:t>, é</w:t>
      </w:r>
      <w:r w:rsidRPr="00773F59">
        <w:rPr>
          <w:bCs/>
          <w:color w:val="000000"/>
        </w:rPr>
        <w:t xml:space="preserve"> possível observar que antes da cirurgia 55,6% dos pacientes apresentavam incapacidade intensa e, após um ano da cirurgia, a predominância é de incapacidade moderada (66,7%).</w:t>
      </w:r>
    </w:p>
    <w:p w:rsidR="00F24990" w:rsidRDefault="006A60ED" w:rsidP="00F24990">
      <w:pPr>
        <w:spacing w:line="480" w:lineRule="auto"/>
        <w:ind w:firstLine="851"/>
        <w:jc w:val="both"/>
        <w:rPr>
          <w:bCs/>
          <w:color w:val="000000" w:themeColor="text1"/>
        </w:rPr>
      </w:pPr>
      <w:r w:rsidRPr="00773F59">
        <w:rPr>
          <w:bCs/>
          <w:color w:val="000000"/>
        </w:rPr>
        <w:t>O nível de dor era intenso em 71,1% dos pacientes no pré</w:t>
      </w:r>
      <w:r w:rsidR="008A6210" w:rsidRPr="00773F59">
        <w:rPr>
          <w:bCs/>
          <w:color w:val="000000"/>
        </w:rPr>
        <w:t>-</w:t>
      </w:r>
      <w:r w:rsidRPr="00773F59">
        <w:rPr>
          <w:bCs/>
          <w:color w:val="000000"/>
        </w:rPr>
        <w:t xml:space="preserve">operatório, reduzindo para 8,9% após 12 meses da cirurgia. Neste período, a predominância foi de dor moderada (82,2%), conforme apresenta </w:t>
      </w:r>
      <w:r w:rsidRPr="00773F59">
        <w:rPr>
          <w:bCs/>
          <w:color w:val="000000" w:themeColor="text1"/>
        </w:rPr>
        <w:t>a Figura 4</w:t>
      </w:r>
      <w:r w:rsidR="008A6210" w:rsidRPr="00773F59">
        <w:rPr>
          <w:bCs/>
          <w:color w:val="000000" w:themeColor="text1"/>
        </w:rPr>
        <w:t>.</w:t>
      </w:r>
      <w:bookmarkStart w:id="44" w:name="_Toc64879027"/>
    </w:p>
    <w:p w:rsidR="00F24990" w:rsidRDefault="00F24990" w:rsidP="00F24990">
      <w:pPr>
        <w:spacing w:line="480" w:lineRule="auto"/>
        <w:jc w:val="both"/>
        <w:rPr>
          <w:bCs/>
          <w:color w:val="000000" w:themeColor="text1"/>
        </w:rPr>
      </w:pPr>
    </w:p>
    <w:p w:rsidR="00F24990" w:rsidRDefault="00F24990" w:rsidP="00F24990">
      <w:pPr>
        <w:spacing w:line="480" w:lineRule="auto"/>
        <w:jc w:val="both"/>
        <w:rPr>
          <w:bCs/>
          <w:color w:val="000000" w:themeColor="text1"/>
        </w:rPr>
      </w:pPr>
    </w:p>
    <w:p w:rsidR="00F24990" w:rsidRDefault="00F24990" w:rsidP="00F24990">
      <w:pPr>
        <w:spacing w:line="480" w:lineRule="auto"/>
        <w:jc w:val="both"/>
        <w:rPr>
          <w:bCs/>
          <w:color w:val="000000" w:themeColor="text1"/>
        </w:rPr>
      </w:pPr>
    </w:p>
    <w:p w:rsidR="00F24990" w:rsidRDefault="00F24990" w:rsidP="00F24990">
      <w:pPr>
        <w:spacing w:line="480" w:lineRule="auto"/>
        <w:jc w:val="both"/>
        <w:rPr>
          <w:bCs/>
          <w:color w:val="000000" w:themeColor="text1"/>
        </w:rPr>
      </w:pPr>
    </w:p>
    <w:p w:rsidR="00F24990" w:rsidRDefault="00F24990" w:rsidP="00F24990">
      <w:pPr>
        <w:spacing w:line="480" w:lineRule="auto"/>
        <w:jc w:val="both"/>
        <w:rPr>
          <w:bCs/>
          <w:color w:val="000000" w:themeColor="text1"/>
        </w:rPr>
      </w:pPr>
    </w:p>
    <w:p w:rsidR="00F24990" w:rsidRDefault="00F24990" w:rsidP="00F24990">
      <w:pPr>
        <w:spacing w:line="480" w:lineRule="auto"/>
        <w:jc w:val="both"/>
        <w:rPr>
          <w:bCs/>
          <w:color w:val="000000" w:themeColor="text1"/>
        </w:rPr>
      </w:pPr>
    </w:p>
    <w:p w:rsidR="00CA5044" w:rsidRPr="00F24990" w:rsidRDefault="00CA5044" w:rsidP="00F24990">
      <w:pPr>
        <w:spacing w:line="480" w:lineRule="auto"/>
        <w:jc w:val="both"/>
        <w:rPr>
          <w:bCs/>
          <w:color w:val="000000" w:themeColor="text1"/>
        </w:rPr>
      </w:pPr>
      <w:r w:rsidRPr="00773F59">
        <w:t>FIGURA</w:t>
      </w:r>
      <w:r w:rsidR="00236A4E" w:rsidRPr="00773F59">
        <w:t xml:space="preserve"> 3</w:t>
      </w:r>
      <w:r w:rsidRPr="00773F59">
        <w:t xml:space="preserve"> – AVALIAÇÃO DO GRAU DE INCAPACIDADE POR OSWESTRY PRÉ E PÓS OPERATÓRIO.</w:t>
      </w:r>
      <w:bookmarkEnd w:id="44"/>
    </w:p>
    <w:p w:rsidR="00CA5044" w:rsidRPr="00773F59" w:rsidRDefault="00B91BB8" w:rsidP="00773F59">
      <w:pPr>
        <w:spacing w:line="480" w:lineRule="auto"/>
        <w:ind w:firstLine="851"/>
        <w:jc w:val="both"/>
        <w:rPr>
          <w:bCs/>
          <w:color w:val="000000"/>
        </w:rPr>
      </w:pPr>
      <w:r w:rsidRPr="00B91BB8">
        <w:rPr>
          <w:bCs/>
          <w:noProof/>
          <w:color w:val="000000"/>
        </w:rPr>
        <w:drawing>
          <wp:inline distT="0" distB="0" distL="0" distR="0">
            <wp:extent cx="4699000" cy="2794000"/>
            <wp:effectExtent l="0" t="0" r="0" b="0"/>
            <wp:docPr id="1" name="Imagem 1"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barras&#10;&#10;Descrição gerada automaticamente"/>
                    <pic:cNvPicPr/>
                  </pic:nvPicPr>
                  <pic:blipFill>
                    <a:blip r:embed="rId9"/>
                    <a:stretch>
                      <a:fillRect/>
                    </a:stretch>
                  </pic:blipFill>
                  <pic:spPr>
                    <a:xfrm>
                      <a:off x="0" y="0"/>
                      <a:ext cx="4699000" cy="2794000"/>
                    </a:xfrm>
                    <a:prstGeom prst="rect">
                      <a:avLst/>
                    </a:prstGeom>
                  </pic:spPr>
                </pic:pic>
              </a:graphicData>
            </a:graphic>
          </wp:inline>
        </w:drawing>
      </w:r>
    </w:p>
    <w:p w:rsidR="00CA5044" w:rsidRPr="00773F59" w:rsidRDefault="00CA5044" w:rsidP="00773F59">
      <w:pPr>
        <w:spacing w:line="480" w:lineRule="auto"/>
        <w:jc w:val="both"/>
        <w:rPr>
          <w:bCs/>
          <w:color w:val="000000"/>
        </w:rPr>
      </w:pPr>
    </w:p>
    <w:p w:rsidR="00CA5044" w:rsidRPr="00773F59" w:rsidRDefault="00CA5044" w:rsidP="00773F59">
      <w:pPr>
        <w:pStyle w:val="Legenda"/>
        <w:keepNext/>
        <w:spacing w:line="480" w:lineRule="auto"/>
        <w:jc w:val="both"/>
        <w:rPr>
          <w:sz w:val="24"/>
          <w:szCs w:val="24"/>
        </w:rPr>
      </w:pPr>
      <w:bookmarkStart w:id="45" w:name="_Toc64879028"/>
      <w:r w:rsidRPr="00773F59">
        <w:rPr>
          <w:sz w:val="24"/>
          <w:szCs w:val="24"/>
        </w:rPr>
        <w:t>FIGURA</w:t>
      </w:r>
      <w:r w:rsidR="00236A4E" w:rsidRPr="00773F59">
        <w:rPr>
          <w:sz w:val="24"/>
          <w:szCs w:val="24"/>
        </w:rPr>
        <w:t xml:space="preserve"> 4</w:t>
      </w:r>
      <w:r w:rsidRPr="00773F59">
        <w:rPr>
          <w:sz w:val="24"/>
          <w:szCs w:val="24"/>
        </w:rPr>
        <w:t xml:space="preserve"> – AVALIAÇÃO DO NÍVEL DE DOR PELA ESCALA VISUAL ANALÓGICA (EVA) PRÉ E PÓS OPERATÓRIO</w:t>
      </w:r>
      <w:bookmarkEnd w:id="45"/>
    </w:p>
    <w:p w:rsidR="00F24990" w:rsidRDefault="00F24990" w:rsidP="00773F59">
      <w:pPr>
        <w:spacing w:line="480" w:lineRule="auto"/>
        <w:ind w:firstLine="851"/>
        <w:jc w:val="both"/>
        <w:rPr>
          <w:bCs/>
          <w:color w:val="000000"/>
        </w:rPr>
      </w:pPr>
      <w:r>
        <w:rPr>
          <w:bCs/>
          <w:noProof/>
          <w:color w:val="000000"/>
        </w:rPr>
        <w:drawing>
          <wp:inline distT="0" distB="0" distL="0" distR="0">
            <wp:extent cx="4572000" cy="2717800"/>
            <wp:effectExtent l="0" t="0" r="0" b="0"/>
            <wp:docPr id="8" name="Imagem 8"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Gráfico, Gráfico de barras&#10;&#10;Descrição gerada automaticament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0" cy="2717800"/>
                    </a:xfrm>
                    <a:prstGeom prst="rect">
                      <a:avLst/>
                    </a:prstGeom>
                  </pic:spPr>
                </pic:pic>
              </a:graphicData>
            </a:graphic>
          </wp:inline>
        </w:drawing>
      </w:r>
    </w:p>
    <w:p w:rsidR="00CA5044" w:rsidRPr="00773F59" w:rsidRDefault="00CA5044" w:rsidP="00773F59">
      <w:pPr>
        <w:spacing w:line="480" w:lineRule="auto"/>
        <w:ind w:firstLine="851"/>
        <w:jc w:val="both"/>
        <w:rPr>
          <w:color w:val="000000"/>
        </w:rPr>
      </w:pPr>
      <w:r w:rsidRPr="00773F59">
        <w:rPr>
          <w:bCs/>
          <w:color w:val="000000"/>
        </w:rPr>
        <w:t>Não houve a</w:t>
      </w:r>
      <w:r w:rsidRPr="00773F59">
        <w:rPr>
          <w:color w:val="000000"/>
        </w:rPr>
        <w:t xml:space="preserve">ssociação estatisticamente significativa entre idade, tempo de internação e tempo de retorno às atividades com a melhora dos escores Oswestry, EVA </w:t>
      </w:r>
      <w:r w:rsidRPr="00773F59">
        <w:rPr>
          <w:color w:val="000000"/>
        </w:rPr>
        <w:lastRenderedPageBreak/>
        <w:t>e lordose</w:t>
      </w:r>
      <w:r w:rsidR="00236A4E" w:rsidRPr="00773F59">
        <w:rPr>
          <w:color w:val="000000"/>
        </w:rPr>
        <w:t xml:space="preserve">. </w:t>
      </w:r>
      <w:r w:rsidRPr="00773F59">
        <w:rPr>
          <w:color w:val="000000"/>
        </w:rPr>
        <w:t>No entanto, cirurgias mais recentes, realizadas a partir de 2019, apresentaram um melhor resultado na escala Oswestry, tendo maior redução (r</w:t>
      </w:r>
      <w:r w:rsidRPr="00773F59">
        <w:rPr>
          <w:color w:val="000000"/>
          <w:vertAlign w:val="subscript"/>
        </w:rPr>
        <w:t>s</w:t>
      </w:r>
      <w:r w:rsidRPr="00773F59">
        <w:rPr>
          <w:color w:val="000000"/>
        </w:rPr>
        <w:t xml:space="preserve">=-0,359; p=0,016), conforme apresenta a Figura </w:t>
      </w:r>
      <w:r w:rsidR="00236A4E" w:rsidRPr="00773F59">
        <w:rPr>
          <w:color w:val="000000"/>
        </w:rPr>
        <w:t>5</w:t>
      </w:r>
      <w:r w:rsidRPr="00773F59">
        <w:rPr>
          <w:color w:val="000000"/>
        </w:rPr>
        <w:t>.</w:t>
      </w:r>
    </w:p>
    <w:p w:rsidR="00236A4E" w:rsidRPr="00773F59" w:rsidRDefault="00236A4E" w:rsidP="00773F59">
      <w:pPr>
        <w:tabs>
          <w:tab w:val="left" w:leader="dot" w:pos="8647"/>
        </w:tabs>
        <w:snapToGrid w:val="0"/>
        <w:spacing w:line="480" w:lineRule="auto"/>
        <w:ind w:right="-7" w:firstLine="709"/>
        <w:jc w:val="both"/>
      </w:pPr>
      <w:r w:rsidRPr="00773F59">
        <w:t>Não houve associação estatisticamente significativa entre o ganho de lordose com a redução dos escores de Oswestry e EVA, conforme apresenta a Tabela 4.</w:t>
      </w:r>
    </w:p>
    <w:p w:rsidR="00C35D21" w:rsidRPr="00773F59" w:rsidRDefault="00C35D21" w:rsidP="00773F59">
      <w:pPr>
        <w:pStyle w:val="Cabealho"/>
        <w:tabs>
          <w:tab w:val="left" w:pos="720"/>
        </w:tabs>
        <w:spacing w:line="480" w:lineRule="auto"/>
        <w:jc w:val="both"/>
      </w:pPr>
    </w:p>
    <w:p w:rsidR="00C35D21" w:rsidRPr="00F24990" w:rsidRDefault="00CA5044" w:rsidP="00F24990">
      <w:pPr>
        <w:pStyle w:val="Legenda"/>
        <w:keepNext/>
        <w:spacing w:line="480" w:lineRule="auto"/>
        <w:jc w:val="both"/>
        <w:rPr>
          <w:sz w:val="24"/>
          <w:szCs w:val="24"/>
        </w:rPr>
      </w:pPr>
      <w:bookmarkStart w:id="46" w:name="_Toc64879029"/>
      <w:r w:rsidRPr="00773F59">
        <w:rPr>
          <w:sz w:val="24"/>
          <w:szCs w:val="24"/>
        </w:rPr>
        <w:t>FIGURA</w:t>
      </w:r>
      <w:r w:rsidR="00236A4E" w:rsidRPr="00773F59">
        <w:rPr>
          <w:sz w:val="24"/>
          <w:szCs w:val="24"/>
        </w:rPr>
        <w:t xml:space="preserve"> 5</w:t>
      </w:r>
      <w:r w:rsidRPr="00773F59">
        <w:rPr>
          <w:sz w:val="24"/>
          <w:szCs w:val="24"/>
        </w:rPr>
        <w:t xml:space="preserve"> – ASSOCIAÇÃO ENTRE O ANO DE REALIZAÇÃO DA CIRURGIA COM A MELHORA, EM %, DO ESCORE DE OSWESTRY APÓS 12 MESES DA CIRURGIA (rs=-0,359; p=0,016).</w:t>
      </w:r>
      <w:bookmarkEnd w:id="46"/>
    </w:p>
    <w:p w:rsidR="00CA5044" w:rsidRPr="00F24990" w:rsidRDefault="00F24990" w:rsidP="00F24990">
      <w:pPr>
        <w:autoSpaceDE w:val="0"/>
        <w:autoSpaceDN w:val="0"/>
        <w:adjustRightInd w:val="0"/>
        <w:spacing w:line="480" w:lineRule="auto"/>
        <w:jc w:val="center"/>
        <w:rPr>
          <w:color w:val="000000"/>
        </w:rPr>
      </w:pPr>
      <w:r>
        <w:rPr>
          <w:noProof/>
          <w:color w:val="000000"/>
        </w:rPr>
        <w:drawing>
          <wp:inline distT="0" distB="0" distL="0" distR="0">
            <wp:extent cx="4648200" cy="3594100"/>
            <wp:effectExtent l="0" t="0" r="0" b="0"/>
            <wp:docPr id="9" name="Imagem 9" descr="Gráfico, Gráfico de dispers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Gráfico, Gráfico de dispersão&#10;&#10;Descrição gerada automaticamente"/>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48200" cy="3594100"/>
                    </a:xfrm>
                    <a:prstGeom prst="rect">
                      <a:avLst/>
                    </a:prstGeom>
                  </pic:spPr>
                </pic:pic>
              </a:graphicData>
            </a:graphic>
          </wp:inline>
        </w:drawing>
      </w:r>
    </w:p>
    <w:p w:rsidR="00CA5044" w:rsidRPr="00773F59" w:rsidRDefault="00CA5044" w:rsidP="00773F59">
      <w:pPr>
        <w:pStyle w:val="Legenda"/>
        <w:keepNext/>
        <w:spacing w:line="480" w:lineRule="auto"/>
        <w:rPr>
          <w:sz w:val="24"/>
          <w:szCs w:val="24"/>
        </w:rPr>
      </w:pPr>
      <w:bookmarkStart w:id="47" w:name="_Toc64548832"/>
      <w:r w:rsidRPr="00773F59">
        <w:rPr>
          <w:sz w:val="24"/>
          <w:szCs w:val="24"/>
        </w:rPr>
        <w:t xml:space="preserve">TABELA </w:t>
      </w:r>
      <w:r w:rsidR="00236A4E" w:rsidRPr="00773F59">
        <w:rPr>
          <w:sz w:val="24"/>
          <w:szCs w:val="24"/>
        </w:rPr>
        <w:t>4</w:t>
      </w:r>
      <w:r w:rsidRPr="00773F59">
        <w:rPr>
          <w:sz w:val="24"/>
          <w:szCs w:val="24"/>
        </w:rPr>
        <w:t xml:space="preserve"> – ASSOCIAÇÃO ENTRE PARÂMETROS CLÍNICOS E RADIOLÓGICOS</w:t>
      </w:r>
      <w:bookmarkEnd w:id="47"/>
    </w:p>
    <w:p w:rsidR="00CA5044" w:rsidRPr="00773F59" w:rsidRDefault="00CA5044" w:rsidP="00773F59">
      <w:pPr>
        <w:spacing w:line="480" w:lineRule="auto"/>
      </w:pPr>
    </w:p>
    <w:tbl>
      <w:tblPr>
        <w:tblW w:w="5778" w:type="dxa"/>
        <w:jc w:val="center"/>
        <w:tblLook w:val="04A0"/>
      </w:tblPr>
      <w:tblGrid>
        <w:gridCol w:w="3227"/>
        <w:gridCol w:w="2551"/>
      </w:tblGrid>
      <w:tr w:rsidR="00CA5044" w:rsidRPr="00773F59" w:rsidTr="00674574">
        <w:trPr>
          <w:trHeight w:val="320"/>
          <w:jc w:val="center"/>
        </w:trPr>
        <w:tc>
          <w:tcPr>
            <w:tcW w:w="3227" w:type="dxa"/>
            <w:tcBorders>
              <w:top w:val="single" w:sz="4" w:space="0" w:color="auto"/>
              <w:bottom w:val="single" w:sz="4" w:space="0" w:color="auto"/>
            </w:tcBorders>
            <w:shd w:val="clear" w:color="auto" w:fill="auto"/>
            <w:noWrap/>
            <w:vAlign w:val="center"/>
            <w:hideMark/>
          </w:tcPr>
          <w:p w:rsidR="00CA5044" w:rsidRPr="00773F59" w:rsidRDefault="00CA5044" w:rsidP="00773F59">
            <w:pPr>
              <w:spacing w:line="480" w:lineRule="auto"/>
              <w:rPr>
                <w:b/>
                <w:bCs/>
                <w:color w:val="000000"/>
              </w:rPr>
            </w:pPr>
            <w:r w:rsidRPr="00773F59">
              <w:rPr>
                <w:b/>
                <w:bCs/>
                <w:color w:val="000000"/>
              </w:rPr>
              <w:t>Teste</w:t>
            </w:r>
          </w:p>
        </w:tc>
        <w:tc>
          <w:tcPr>
            <w:tcW w:w="2551" w:type="dxa"/>
            <w:tcBorders>
              <w:top w:val="single" w:sz="4" w:space="0" w:color="auto"/>
              <w:bottom w:val="single" w:sz="4" w:space="0" w:color="auto"/>
            </w:tcBorders>
            <w:shd w:val="clear" w:color="auto" w:fill="auto"/>
            <w:noWrap/>
            <w:vAlign w:val="center"/>
            <w:hideMark/>
          </w:tcPr>
          <w:p w:rsidR="00CA5044" w:rsidRPr="00773F59" w:rsidRDefault="00CA5044" w:rsidP="00773F59">
            <w:pPr>
              <w:spacing w:line="480" w:lineRule="auto"/>
              <w:rPr>
                <w:b/>
                <w:bCs/>
                <w:color w:val="000000"/>
              </w:rPr>
            </w:pPr>
            <w:r w:rsidRPr="00773F59">
              <w:rPr>
                <w:b/>
                <w:bCs/>
                <w:color w:val="000000"/>
              </w:rPr>
              <w:t>Ganho de lordose</w:t>
            </w:r>
          </w:p>
        </w:tc>
      </w:tr>
      <w:tr w:rsidR="00CA5044" w:rsidRPr="00773F59" w:rsidTr="00674574">
        <w:trPr>
          <w:trHeight w:val="320"/>
          <w:jc w:val="center"/>
        </w:trPr>
        <w:tc>
          <w:tcPr>
            <w:tcW w:w="3227" w:type="dxa"/>
            <w:tcBorders>
              <w:top w:val="single" w:sz="4" w:space="0" w:color="auto"/>
            </w:tcBorders>
            <w:shd w:val="clear" w:color="auto" w:fill="auto"/>
            <w:noWrap/>
            <w:hideMark/>
          </w:tcPr>
          <w:p w:rsidR="00CA5044" w:rsidRPr="00773F59" w:rsidRDefault="00CA5044" w:rsidP="00773F59">
            <w:pPr>
              <w:spacing w:line="480" w:lineRule="auto"/>
              <w:rPr>
                <w:bCs/>
                <w:color w:val="000000"/>
              </w:rPr>
            </w:pPr>
            <w:r w:rsidRPr="00773F59">
              <w:rPr>
                <w:bCs/>
                <w:color w:val="000000"/>
              </w:rPr>
              <w:t>Redução de Oswestry (%)</w:t>
            </w:r>
          </w:p>
        </w:tc>
        <w:tc>
          <w:tcPr>
            <w:tcW w:w="2551" w:type="dxa"/>
            <w:tcBorders>
              <w:top w:val="single" w:sz="4" w:space="0" w:color="auto"/>
            </w:tcBorders>
            <w:shd w:val="clear" w:color="auto" w:fill="auto"/>
            <w:noWrap/>
            <w:hideMark/>
          </w:tcPr>
          <w:p w:rsidR="00CA5044" w:rsidRPr="00773F59" w:rsidRDefault="00CA5044" w:rsidP="00773F59">
            <w:pPr>
              <w:spacing w:line="480" w:lineRule="auto"/>
              <w:rPr>
                <w:color w:val="000000"/>
              </w:rPr>
            </w:pPr>
            <w:r w:rsidRPr="00773F59">
              <w:rPr>
                <w:color w:val="000000"/>
              </w:rPr>
              <w:t>r=0,001 (p=0,997)</w:t>
            </w:r>
          </w:p>
        </w:tc>
      </w:tr>
      <w:tr w:rsidR="00CA5044" w:rsidRPr="00773F59" w:rsidTr="00674574">
        <w:trPr>
          <w:trHeight w:val="320"/>
          <w:jc w:val="center"/>
        </w:trPr>
        <w:tc>
          <w:tcPr>
            <w:tcW w:w="3227" w:type="dxa"/>
            <w:tcBorders>
              <w:bottom w:val="single" w:sz="4" w:space="0" w:color="auto"/>
            </w:tcBorders>
            <w:shd w:val="clear" w:color="auto" w:fill="auto"/>
            <w:noWrap/>
            <w:hideMark/>
          </w:tcPr>
          <w:p w:rsidR="00CA5044" w:rsidRPr="00773F59" w:rsidRDefault="00CA5044" w:rsidP="00773F59">
            <w:pPr>
              <w:spacing w:line="480" w:lineRule="auto"/>
              <w:rPr>
                <w:bCs/>
                <w:color w:val="000000"/>
              </w:rPr>
            </w:pPr>
            <w:r w:rsidRPr="00773F59">
              <w:rPr>
                <w:bCs/>
                <w:color w:val="000000"/>
              </w:rPr>
              <w:lastRenderedPageBreak/>
              <w:t>Redução de EVA (0-10)</w:t>
            </w:r>
          </w:p>
        </w:tc>
        <w:tc>
          <w:tcPr>
            <w:tcW w:w="2551" w:type="dxa"/>
            <w:tcBorders>
              <w:bottom w:val="single" w:sz="4" w:space="0" w:color="auto"/>
            </w:tcBorders>
            <w:shd w:val="clear" w:color="auto" w:fill="auto"/>
            <w:noWrap/>
            <w:hideMark/>
          </w:tcPr>
          <w:p w:rsidR="00CA5044" w:rsidRPr="00773F59" w:rsidRDefault="00CA5044" w:rsidP="00773F59">
            <w:pPr>
              <w:spacing w:line="480" w:lineRule="auto"/>
              <w:rPr>
                <w:color w:val="000000"/>
              </w:rPr>
            </w:pPr>
            <w:r w:rsidRPr="00773F59">
              <w:rPr>
                <w:color w:val="000000"/>
              </w:rPr>
              <w:t>r</w:t>
            </w:r>
            <w:r w:rsidRPr="00773F59">
              <w:rPr>
                <w:color w:val="000000"/>
                <w:vertAlign w:val="subscript"/>
              </w:rPr>
              <w:t>s</w:t>
            </w:r>
            <w:r w:rsidRPr="00773F59">
              <w:rPr>
                <w:color w:val="000000"/>
              </w:rPr>
              <w:t>=0,000 (p=0,998)</w:t>
            </w:r>
          </w:p>
        </w:tc>
      </w:tr>
    </w:tbl>
    <w:p w:rsidR="003764B5" w:rsidRDefault="003764B5" w:rsidP="00F24990">
      <w:pPr>
        <w:pStyle w:val="Ttulo1"/>
        <w:numPr>
          <w:ilvl w:val="0"/>
          <w:numId w:val="0"/>
        </w:numPr>
        <w:spacing w:line="480" w:lineRule="auto"/>
        <w:rPr>
          <w:szCs w:val="24"/>
        </w:rPr>
      </w:pPr>
    </w:p>
    <w:p w:rsidR="00CA5044" w:rsidRPr="00773F59" w:rsidRDefault="00CA5044" w:rsidP="00F24990">
      <w:pPr>
        <w:pStyle w:val="Ttulo1"/>
        <w:numPr>
          <w:ilvl w:val="0"/>
          <w:numId w:val="0"/>
        </w:numPr>
        <w:spacing w:line="480" w:lineRule="auto"/>
        <w:rPr>
          <w:szCs w:val="24"/>
        </w:rPr>
      </w:pPr>
      <w:r w:rsidRPr="00773F59">
        <w:rPr>
          <w:szCs w:val="24"/>
        </w:rPr>
        <w:t>discussão:</w:t>
      </w:r>
    </w:p>
    <w:p w:rsidR="00CA5044" w:rsidRPr="00773F59" w:rsidRDefault="00CA5044" w:rsidP="00773F59">
      <w:pPr>
        <w:spacing w:line="480" w:lineRule="auto"/>
        <w:ind w:firstLine="851"/>
        <w:jc w:val="both"/>
        <w:rPr>
          <w:color w:val="000000" w:themeColor="text1"/>
        </w:rPr>
      </w:pPr>
      <w:r w:rsidRPr="00773F59">
        <w:rPr>
          <w:color w:val="000000" w:themeColor="text1"/>
        </w:rPr>
        <w:t>A escolha da técnica cirúrgica deve representar um compromisso razoável entre a intervenção cirúrgica planejada e os riscos operatórios associados. Sendo assim, técnicas minimamente invasivas foram introduzidas com o objetivo</w:t>
      </w:r>
      <w:r w:rsidR="00306EB4" w:rsidRPr="00773F59">
        <w:rPr>
          <w:color w:val="000000" w:themeColor="text1"/>
        </w:rPr>
        <w:t xml:space="preserve"> de reduzir as complicações peri</w:t>
      </w:r>
      <w:r w:rsidRPr="00773F59">
        <w:rPr>
          <w:color w:val="000000" w:themeColor="text1"/>
        </w:rPr>
        <w:t>operatórias e encurtar o tempo de hospitalização, impactando diretamente na qualidade de vida no pós-operatório.</w:t>
      </w:r>
    </w:p>
    <w:p w:rsidR="008A6210" w:rsidRPr="00773F59" w:rsidRDefault="00CA5044" w:rsidP="00773F59">
      <w:pPr>
        <w:spacing w:line="480" w:lineRule="auto"/>
        <w:ind w:firstLine="851"/>
        <w:jc w:val="both"/>
        <w:rPr>
          <w:color w:val="000000" w:themeColor="text1"/>
          <w:shd w:val="clear" w:color="auto" w:fill="FFFFFF"/>
        </w:rPr>
      </w:pPr>
      <w:r w:rsidRPr="00773F59">
        <w:rPr>
          <w:color w:val="000000" w:themeColor="text1"/>
          <w:shd w:val="clear" w:color="auto" w:fill="FFFFFF"/>
        </w:rPr>
        <w:t xml:space="preserve">Neste estudo foi realizada uma avaliação retrospectiva de pacientes </w:t>
      </w:r>
      <w:r w:rsidR="003764B5">
        <w:rPr>
          <w:color w:val="000000" w:themeColor="text1"/>
          <w:shd w:val="clear" w:color="auto" w:fill="FFFFFF"/>
        </w:rPr>
        <w:t>submetidos ao</w:t>
      </w:r>
      <w:r w:rsidRPr="00773F59">
        <w:rPr>
          <w:color w:val="000000" w:themeColor="text1"/>
          <w:shd w:val="clear" w:color="auto" w:fill="FFFFFF"/>
        </w:rPr>
        <w:t xml:space="preserve"> XLIF, havendo predomínio do sexo feminino na amostra estudada, assim como em outros trabalhos da literatura</w:t>
      </w:r>
      <w:r w:rsidR="00C35D21" w:rsidRPr="00773F59">
        <w:rPr>
          <w:color w:val="000000" w:themeColor="text1"/>
          <w:shd w:val="clear" w:color="auto" w:fill="FFFFFF"/>
          <w:vertAlign w:val="superscript"/>
        </w:rPr>
        <w:t>12,13</w:t>
      </w:r>
      <w:r w:rsidRPr="00773F59">
        <w:rPr>
          <w:color w:val="000000" w:themeColor="text1"/>
          <w:shd w:val="clear" w:color="auto" w:fill="FFFFFF"/>
        </w:rPr>
        <w:t>.</w:t>
      </w:r>
    </w:p>
    <w:p w:rsidR="006A60ED" w:rsidRPr="00773F59" w:rsidRDefault="00CA5044" w:rsidP="00773F59">
      <w:pPr>
        <w:spacing w:line="480" w:lineRule="auto"/>
        <w:ind w:firstLine="851"/>
        <w:jc w:val="both"/>
        <w:rPr>
          <w:color w:val="000000" w:themeColor="text1"/>
          <w:shd w:val="clear" w:color="auto" w:fill="FFFFFF"/>
        </w:rPr>
      </w:pPr>
      <w:r w:rsidRPr="00773F59">
        <w:rPr>
          <w:color w:val="000000" w:themeColor="text1"/>
          <w:shd w:val="clear" w:color="auto" w:fill="FFFFFF"/>
        </w:rPr>
        <w:t>Utilizando a EVA, observou-se redução de 50% nos níveis de dor (de 8 pontos pré</w:t>
      </w:r>
      <w:r w:rsidR="006A60ED" w:rsidRPr="00773F59">
        <w:rPr>
          <w:color w:val="000000" w:themeColor="text1"/>
          <w:shd w:val="clear" w:color="auto" w:fill="FFFFFF"/>
        </w:rPr>
        <w:t>-</w:t>
      </w:r>
      <w:r w:rsidRPr="00773F59">
        <w:rPr>
          <w:color w:val="000000" w:themeColor="text1"/>
          <w:shd w:val="clear" w:color="auto" w:fill="FFFFFF"/>
        </w:rPr>
        <w:t>operatório para 4 pontos após um ano da cirurgia). Este valor é semelhante ao resultado do trabalho de Klimov e Vasilenko</w:t>
      </w:r>
      <w:r w:rsidR="00C35D21" w:rsidRPr="00773F59">
        <w:rPr>
          <w:color w:val="000000" w:themeColor="text1"/>
          <w:shd w:val="clear" w:color="auto" w:fill="FFFFFF"/>
          <w:vertAlign w:val="superscript"/>
        </w:rPr>
        <w:t>14</w:t>
      </w:r>
      <w:r w:rsidRPr="00773F59">
        <w:rPr>
          <w:color w:val="000000" w:themeColor="text1"/>
          <w:shd w:val="clear" w:color="auto" w:fill="FFFFFF"/>
        </w:rPr>
        <w:t xml:space="preserve">, que obteve redução de </w:t>
      </w:r>
      <w:r w:rsidR="006A60ED" w:rsidRPr="00773F59">
        <w:rPr>
          <w:color w:val="000000" w:themeColor="text1"/>
          <w:shd w:val="clear" w:color="auto" w:fill="FFFFFF"/>
        </w:rPr>
        <w:t xml:space="preserve">6 </w:t>
      </w:r>
      <w:r w:rsidR="001852BC" w:rsidRPr="00773F59">
        <w:rPr>
          <w:color w:val="000000" w:themeColor="text1"/>
          <w:shd w:val="clear" w:color="auto" w:fill="FFFFFF"/>
        </w:rPr>
        <w:t xml:space="preserve">para </w:t>
      </w:r>
      <w:r w:rsidR="006A60ED" w:rsidRPr="00773F59">
        <w:rPr>
          <w:color w:val="000000" w:themeColor="text1"/>
          <w:shd w:val="clear" w:color="auto" w:fill="FFFFFF"/>
        </w:rPr>
        <w:t xml:space="preserve">3 </w:t>
      </w:r>
      <w:r w:rsidR="001852BC" w:rsidRPr="00773F59">
        <w:rPr>
          <w:color w:val="000000" w:themeColor="text1"/>
          <w:shd w:val="clear" w:color="auto" w:fill="FFFFFF"/>
        </w:rPr>
        <w:t>pontos utilizando a mesma escala também para uma abordagem cirúrgica lateral (p &lt; 0,0001).</w:t>
      </w:r>
    </w:p>
    <w:p w:rsidR="005D7D33" w:rsidRPr="00773F59" w:rsidRDefault="006A60ED" w:rsidP="00773F59">
      <w:pPr>
        <w:spacing w:line="480" w:lineRule="auto"/>
        <w:ind w:firstLine="851"/>
        <w:jc w:val="both"/>
        <w:rPr>
          <w:color w:val="000000" w:themeColor="text1"/>
          <w:shd w:val="clear" w:color="auto" w:fill="FFFFFF"/>
        </w:rPr>
      </w:pPr>
      <w:r w:rsidRPr="00773F59">
        <w:rPr>
          <w:color w:val="000000" w:themeColor="text1"/>
          <w:shd w:val="clear" w:color="auto" w:fill="FFFFFF"/>
        </w:rPr>
        <w:t>Klimov e Vasilenko</w:t>
      </w:r>
      <w:r w:rsidR="00C35D21" w:rsidRPr="00773F59">
        <w:rPr>
          <w:color w:val="000000" w:themeColor="text1"/>
          <w:shd w:val="clear" w:color="auto" w:fill="FFFFFF"/>
          <w:vertAlign w:val="superscript"/>
        </w:rPr>
        <w:t>14</w:t>
      </w:r>
      <w:r w:rsidRPr="00773F59">
        <w:rPr>
          <w:color w:val="000000" w:themeColor="text1"/>
          <w:shd w:val="clear" w:color="auto" w:fill="FFFFFF"/>
        </w:rPr>
        <w:t xml:space="preserve"> também </w:t>
      </w:r>
      <w:r w:rsidR="00CA5044" w:rsidRPr="00773F59">
        <w:rPr>
          <w:color w:val="000000" w:themeColor="text1"/>
          <w:shd w:val="clear" w:color="auto" w:fill="FFFFFF"/>
        </w:rPr>
        <w:t>avaliaram a adaptação funcional de acordo com o Oswestry</w:t>
      </w:r>
      <w:r w:rsidR="003764B5">
        <w:rPr>
          <w:color w:val="000000" w:themeColor="text1"/>
          <w:shd w:val="clear" w:color="auto" w:fill="FFFFFF"/>
        </w:rPr>
        <w:t xml:space="preserve"> </w:t>
      </w:r>
      <w:r w:rsidR="00CA5044" w:rsidRPr="00773F59">
        <w:rPr>
          <w:color w:val="000000" w:themeColor="text1"/>
          <w:shd w:val="clear" w:color="auto" w:fill="FFFFFF"/>
        </w:rPr>
        <w:t>Disability Index (ODI), observando uma melhora de 47,8 ± 17,4 para 38,5 ± 14,5 (redução de 19,5%; p &lt;0,0273), o que também ocorreu no presente estudo, porém com resultados ainda melhores</w:t>
      </w:r>
      <w:r w:rsidRPr="00773F59">
        <w:rPr>
          <w:color w:val="000000" w:themeColor="text1"/>
          <w:shd w:val="clear" w:color="auto" w:fill="FFFFFF"/>
        </w:rPr>
        <w:t>,</w:t>
      </w:r>
      <w:r w:rsidR="00CA5044" w:rsidRPr="00773F59">
        <w:rPr>
          <w:color w:val="000000" w:themeColor="text1"/>
          <w:shd w:val="clear" w:color="auto" w:fill="FFFFFF"/>
        </w:rPr>
        <w:t xml:space="preserve"> com redução de 39,2% (p &lt;0,001), demonstrando que pacientes </w:t>
      </w:r>
      <w:r w:rsidR="00A55F68" w:rsidRPr="00773F59">
        <w:rPr>
          <w:color w:val="000000" w:themeColor="text1"/>
          <w:shd w:val="clear" w:color="auto" w:fill="FFFFFF"/>
        </w:rPr>
        <w:t xml:space="preserve">com </w:t>
      </w:r>
      <w:r w:rsidR="00CA5044" w:rsidRPr="00773F59">
        <w:rPr>
          <w:color w:val="000000" w:themeColor="text1"/>
          <w:shd w:val="clear" w:color="auto" w:fill="FFFFFF"/>
        </w:rPr>
        <w:t xml:space="preserve">incapacidade intensa </w:t>
      </w:r>
      <w:r w:rsidR="006F5E09" w:rsidRPr="00773F59">
        <w:rPr>
          <w:color w:val="000000" w:themeColor="text1"/>
          <w:shd w:val="clear" w:color="auto" w:fill="FFFFFF"/>
        </w:rPr>
        <w:t>a</w:t>
      </w:r>
      <w:r w:rsidR="00CA5044" w:rsidRPr="00773F59">
        <w:rPr>
          <w:color w:val="000000" w:themeColor="text1"/>
          <w:shd w:val="clear" w:color="auto" w:fill="FFFFFF"/>
        </w:rPr>
        <w:t xml:space="preserve"> quase invalidez, após a cirurgia</w:t>
      </w:r>
      <w:r w:rsidRPr="00773F59">
        <w:rPr>
          <w:color w:val="000000" w:themeColor="text1"/>
          <w:shd w:val="clear" w:color="auto" w:fill="FFFFFF"/>
        </w:rPr>
        <w:t xml:space="preserve">, </w:t>
      </w:r>
      <w:r w:rsidR="00A55F68" w:rsidRPr="00773F59">
        <w:rPr>
          <w:color w:val="000000" w:themeColor="text1"/>
          <w:shd w:val="clear" w:color="auto" w:fill="FFFFFF"/>
        </w:rPr>
        <w:t xml:space="preserve">apresentavam </w:t>
      </w:r>
      <w:r w:rsidR="00CA5044" w:rsidRPr="00773F59">
        <w:rPr>
          <w:color w:val="000000" w:themeColor="text1"/>
          <w:shd w:val="clear" w:color="auto" w:fill="FFFFFF"/>
        </w:rPr>
        <w:t xml:space="preserve">incapacidade moderada, classificando como sendo um bom resultado no pós-operatório. </w:t>
      </w:r>
      <w:r w:rsidR="00CA5044" w:rsidRPr="00773F59">
        <w:rPr>
          <w:color w:val="000000" w:themeColor="text1"/>
        </w:rPr>
        <w:t>Da mesma forma, Paterakis e Brotis</w:t>
      </w:r>
      <w:r w:rsidR="00C35D21" w:rsidRPr="00773F59">
        <w:rPr>
          <w:color w:val="000000" w:themeColor="text1"/>
          <w:vertAlign w:val="superscript"/>
        </w:rPr>
        <w:t>12</w:t>
      </w:r>
      <w:r w:rsidR="003764B5">
        <w:rPr>
          <w:color w:val="000000" w:themeColor="text1"/>
          <w:vertAlign w:val="superscript"/>
        </w:rPr>
        <w:t xml:space="preserve"> </w:t>
      </w:r>
      <w:r w:rsidR="00CA5044" w:rsidRPr="00773F59">
        <w:rPr>
          <w:color w:val="000000" w:themeColor="text1"/>
          <w:shd w:val="clear" w:color="auto" w:fill="FFFFFF"/>
        </w:rPr>
        <w:t xml:space="preserve">apresentaram resultados semelhantes com o XLIF determinando melhora na incapacidade relacionada à coluna em 26% (DP = 8,35%) na escala ODI no acompanhamento de um ano. </w:t>
      </w:r>
    </w:p>
    <w:p w:rsidR="00157A89" w:rsidRDefault="009E4A59" w:rsidP="00773F59">
      <w:pPr>
        <w:spacing w:line="480" w:lineRule="auto"/>
        <w:ind w:firstLine="851"/>
        <w:jc w:val="both"/>
        <w:rPr>
          <w:color w:val="000000"/>
          <w:shd w:val="clear" w:color="auto" w:fill="FFFFFF"/>
        </w:rPr>
      </w:pPr>
      <w:r w:rsidRPr="00773F59">
        <w:rPr>
          <w:color w:val="000000"/>
          <w:shd w:val="clear" w:color="auto" w:fill="FFFFFF"/>
        </w:rPr>
        <w:lastRenderedPageBreak/>
        <w:t>Também s</w:t>
      </w:r>
      <w:r w:rsidR="00CA5044" w:rsidRPr="00773F59">
        <w:rPr>
          <w:color w:val="000000"/>
          <w:shd w:val="clear" w:color="auto" w:fill="FFFFFF"/>
        </w:rPr>
        <w:t xml:space="preserve">imilar </w:t>
      </w:r>
      <w:r w:rsidRPr="00773F59">
        <w:rPr>
          <w:color w:val="000000"/>
          <w:shd w:val="clear" w:color="auto" w:fill="FFFFFF"/>
        </w:rPr>
        <w:t>ao presente</w:t>
      </w:r>
      <w:r w:rsidR="00CA5044" w:rsidRPr="00773F59">
        <w:rPr>
          <w:color w:val="000000"/>
          <w:shd w:val="clear" w:color="auto" w:fill="FFFFFF"/>
        </w:rPr>
        <w:t xml:space="preserve"> estudo, a literatura</w:t>
      </w:r>
      <w:r w:rsidR="00C35D21" w:rsidRPr="00773F59">
        <w:rPr>
          <w:color w:val="000000"/>
          <w:shd w:val="clear" w:color="auto" w:fill="FFFFFF"/>
          <w:vertAlign w:val="superscript"/>
        </w:rPr>
        <w:t>4,12</w:t>
      </w:r>
      <w:r w:rsidR="00CA5044" w:rsidRPr="00773F59">
        <w:rPr>
          <w:color w:val="000000"/>
          <w:shd w:val="clear" w:color="auto" w:fill="FFFFFF"/>
        </w:rPr>
        <w:t xml:space="preserve"> reporta resultados positivos em relação à melhora do equilíbrio sagital através do ângulo de Cobb para</w:t>
      </w:r>
      <w:r w:rsidR="00797A0A">
        <w:rPr>
          <w:color w:val="000000"/>
          <w:shd w:val="clear" w:color="auto" w:fill="FFFFFF"/>
        </w:rPr>
        <w:t xml:space="preserve"> </w:t>
      </w:r>
      <w:r w:rsidR="00CA5044" w:rsidRPr="00773F59">
        <w:rPr>
          <w:color w:val="000000"/>
          <w:shd w:val="clear" w:color="auto" w:fill="FFFFFF"/>
        </w:rPr>
        <w:t xml:space="preserve">quantificação da lordose. Amaral </w:t>
      </w:r>
      <w:r w:rsidR="00CA5044" w:rsidRPr="00773F59">
        <w:rPr>
          <w:i/>
          <w:iCs/>
          <w:color w:val="000000"/>
          <w:shd w:val="clear" w:color="auto" w:fill="FFFFFF"/>
        </w:rPr>
        <w:t>et al</w:t>
      </w:r>
      <w:r w:rsidR="00C35D21" w:rsidRPr="00773F59">
        <w:rPr>
          <w:i/>
          <w:iCs/>
          <w:color w:val="000000"/>
          <w:shd w:val="clear" w:color="auto" w:fill="FFFFFF"/>
        </w:rPr>
        <w:t>.</w:t>
      </w:r>
      <w:r w:rsidR="00C35D21" w:rsidRPr="00773F59">
        <w:rPr>
          <w:color w:val="000000"/>
          <w:shd w:val="clear" w:color="auto" w:fill="FFFFFF"/>
          <w:vertAlign w:val="superscript"/>
        </w:rPr>
        <w:t>4</w:t>
      </w:r>
      <w:r w:rsidR="00CA5044" w:rsidRPr="00773F59">
        <w:rPr>
          <w:color w:val="000000"/>
          <w:shd w:val="clear" w:color="auto" w:fill="FFFFFF"/>
        </w:rPr>
        <w:t xml:space="preserve"> determinaram que a </w:t>
      </w:r>
      <w:r w:rsidR="006A60ED" w:rsidRPr="00773F59">
        <w:rPr>
          <w:color w:val="000000"/>
          <w:shd w:val="clear" w:color="auto" w:fill="FFFFFF"/>
        </w:rPr>
        <w:t>média</w:t>
      </w:r>
      <w:r w:rsidR="00CA5044" w:rsidRPr="00773F59">
        <w:rPr>
          <w:color w:val="000000"/>
          <w:shd w:val="clear" w:color="auto" w:fill="FFFFFF"/>
        </w:rPr>
        <w:t xml:space="preserve"> de lordose lombar no grupo estudado</w:t>
      </w:r>
      <w:r w:rsidR="00797A0A">
        <w:rPr>
          <w:color w:val="000000"/>
          <w:shd w:val="clear" w:color="auto" w:fill="FFFFFF"/>
        </w:rPr>
        <w:t xml:space="preserve"> </w:t>
      </w:r>
      <w:r w:rsidR="005A3DC9" w:rsidRPr="005A3DC9">
        <w:rPr>
          <w:color w:val="000000"/>
          <w:shd w:val="clear" w:color="auto" w:fill="FFFFFF"/>
        </w:rPr>
        <w:t>com idade média de 57,3</w:t>
      </w:r>
      <w:r w:rsidR="005A3DC9">
        <w:rPr>
          <w:color w:val="000000"/>
          <w:shd w:val="clear" w:color="auto" w:fill="FFFFFF"/>
        </w:rPr>
        <w:t xml:space="preserve"> anos</w:t>
      </w:r>
      <w:r w:rsidR="00797A0A">
        <w:rPr>
          <w:color w:val="000000"/>
          <w:shd w:val="clear" w:color="auto" w:fill="FFFFFF"/>
        </w:rPr>
        <w:t xml:space="preserve"> </w:t>
      </w:r>
      <w:r w:rsidR="005A3DC9">
        <w:rPr>
          <w:color w:val="000000"/>
          <w:shd w:val="clear" w:color="auto" w:fill="FFFFFF"/>
        </w:rPr>
        <w:t xml:space="preserve">após um </w:t>
      </w:r>
      <w:r w:rsidR="005A3DC9" w:rsidRPr="005A3DC9">
        <w:rPr>
          <w:color w:val="000000"/>
          <w:shd w:val="clear" w:color="auto" w:fill="FFFFFF"/>
        </w:rPr>
        <w:t>ano de acompanhamento</w:t>
      </w:r>
      <w:r w:rsidR="00797A0A">
        <w:rPr>
          <w:color w:val="000000"/>
          <w:shd w:val="clear" w:color="auto" w:fill="FFFFFF"/>
        </w:rPr>
        <w:t xml:space="preserve"> </w:t>
      </w:r>
      <w:r w:rsidR="00CA5044" w:rsidRPr="00773F59">
        <w:rPr>
          <w:color w:val="000000"/>
          <w:shd w:val="clear" w:color="auto" w:fill="FFFFFF"/>
        </w:rPr>
        <w:t>foi de 36,5 ± 14,7 no pré-operatório, a qual aumentou após o acesso lateral para 43,4 ± 12,4 (aumento de 18,9%; p&lt;0,015) no seguimento de 12 meses. No estudo de Paterakis</w:t>
      </w:r>
      <w:r w:rsidR="00797A0A">
        <w:rPr>
          <w:color w:val="000000"/>
          <w:shd w:val="clear" w:color="auto" w:fill="FFFFFF"/>
        </w:rPr>
        <w:t xml:space="preserve"> </w:t>
      </w:r>
      <w:r w:rsidR="00CA5044" w:rsidRPr="00773F59">
        <w:rPr>
          <w:i/>
          <w:iCs/>
          <w:color w:val="000000"/>
          <w:shd w:val="clear" w:color="auto" w:fill="FFFFFF"/>
        </w:rPr>
        <w:t>et al</w:t>
      </w:r>
      <w:r w:rsidR="00C35D21" w:rsidRPr="00773F59">
        <w:rPr>
          <w:color w:val="000000"/>
          <w:shd w:val="clear" w:color="auto" w:fill="FFFFFF"/>
        </w:rPr>
        <w:t>.</w:t>
      </w:r>
      <w:r w:rsidR="00C35D21" w:rsidRPr="00773F59">
        <w:rPr>
          <w:color w:val="000000"/>
          <w:shd w:val="clear" w:color="auto" w:fill="FFFFFF"/>
          <w:vertAlign w:val="superscript"/>
        </w:rPr>
        <w:t>12</w:t>
      </w:r>
      <w:r w:rsidR="00CA5044" w:rsidRPr="00773F59">
        <w:rPr>
          <w:color w:val="000000"/>
          <w:shd w:val="clear" w:color="auto" w:fill="FFFFFF"/>
        </w:rPr>
        <w:t>, o equilíbrio sagital melhorou por uma média de 13,5° no ângulo de lordose (DP = 10,86°)</w:t>
      </w:r>
      <w:r w:rsidR="005A3DC9">
        <w:rPr>
          <w:color w:val="000000"/>
          <w:shd w:val="clear" w:color="auto" w:fill="FFFFFF"/>
        </w:rPr>
        <w:t xml:space="preserve"> em mulheres com idade média de 64,5 anos com seguimento de 28 meses. </w:t>
      </w:r>
      <w:r w:rsidR="00CA5044" w:rsidRPr="00773F59">
        <w:rPr>
          <w:color w:val="000000"/>
          <w:shd w:val="clear" w:color="auto" w:fill="FFFFFF"/>
        </w:rPr>
        <w:t xml:space="preserve">No presente estudo, o aumento na angulação da lordose foi de 26,3% (p &lt;0,001). </w:t>
      </w:r>
    </w:p>
    <w:p w:rsidR="00151D36" w:rsidRPr="00773F59" w:rsidRDefault="00CA5044" w:rsidP="00773F59">
      <w:pPr>
        <w:spacing w:line="480" w:lineRule="auto"/>
        <w:ind w:firstLine="851"/>
        <w:jc w:val="both"/>
        <w:rPr>
          <w:color w:val="000000"/>
        </w:rPr>
      </w:pPr>
      <w:r w:rsidRPr="00773F59">
        <w:rPr>
          <w:color w:val="000000"/>
          <w:shd w:val="clear" w:color="auto" w:fill="FFFFFF"/>
        </w:rPr>
        <w:t>As complicações cirúrgicas da coluna vertebral podem ser divididas em complicações inerentes à cirurgia (sangramento com necessidade de transfusão, infecção da ferida operatória), relacionadas à via de acesso (lesão visceral ou vascular nas abordagens anteriores; lesão dural ou hematoma epidural nas abordagens posteriores), complicações específicas de abordagem da coluna vertebral (lesões neurais,</w:t>
      </w:r>
      <w:r w:rsidR="00797A0A">
        <w:rPr>
          <w:color w:val="000000"/>
          <w:shd w:val="clear" w:color="auto" w:fill="FFFFFF"/>
        </w:rPr>
        <w:t xml:space="preserve"> sejam </w:t>
      </w:r>
      <w:r w:rsidRPr="00773F59">
        <w:rPr>
          <w:color w:val="000000"/>
          <w:shd w:val="clear" w:color="auto" w:fill="FFFFFF"/>
        </w:rPr>
        <w:t xml:space="preserve">sensoriais ou motoras), além de complicações médicas gerais </w:t>
      </w:r>
      <w:r w:rsidRPr="00773F59">
        <w:rPr>
          <w:color w:val="000000" w:themeColor="text1"/>
          <w:shd w:val="clear" w:color="auto" w:fill="FFFFFF"/>
        </w:rPr>
        <w:t>perioperatórias</w:t>
      </w:r>
      <w:r w:rsidR="00C35D21" w:rsidRPr="00773F59">
        <w:rPr>
          <w:color w:val="000000" w:themeColor="text1"/>
          <w:shd w:val="clear" w:color="auto" w:fill="FFFFFF"/>
          <w:vertAlign w:val="superscript"/>
        </w:rPr>
        <w:t>1</w:t>
      </w:r>
      <w:r w:rsidR="002C1F55">
        <w:rPr>
          <w:color w:val="000000" w:themeColor="text1"/>
          <w:shd w:val="clear" w:color="auto" w:fill="FFFFFF"/>
          <w:vertAlign w:val="superscript"/>
        </w:rPr>
        <w:t>5</w:t>
      </w:r>
      <w:r w:rsidR="006A60ED" w:rsidRPr="00773F59">
        <w:rPr>
          <w:color w:val="000000" w:themeColor="text1"/>
          <w:shd w:val="clear" w:color="auto" w:fill="FFFFFF"/>
        </w:rPr>
        <w:t xml:space="preserve">. </w:t>
      </w:r>
      <w:r w:rsidR="00076880" w:rsidRPr="00773F59">
        <w:rPr>
          <w:color w:val="000000" w:themeColor="text1"/>
          <w:shd w:val="clear" w:color="auto" w:fill="FFFFFF"/>
        </w:rPr>
        <w:t xml:space="preserve">Muitos </w:t>
      </w:r>
      <w:r w:rsidR="006F5E09" w:rsidRPr="00773F59">
        <w:rPr>
          <w:color w:val="000000" w:themeColor="text1"/>
        </w:rPr>
        <w:t>e</w:t>
      </w:r>
      <w:r w:rsidRPr="00773F59">
        <w:rPr>
          <w:color w:val="000000" w:themeColor="text1"/>
        </w:rPr>
        <w:t>studos</w:t>
      </w:r>
      <w:r w:rsidR="00C35D21" w:rsidRPr="00773F59">
        <w:rPr>
          <w:color w:val="000000" w:themeColor="text1"/>
          <w:vertAlign w:val="superscript"/>
        </w:rPr>
        <w:t>10,1</w:t>
      </w:r>
      <w:r w:rsidR="002C1F55">
        <w:rPr>
          <w:color w:val="000000" w:themeColor="text1"/>
          <w:vertAlign w:val="superscript"/>
        </w:rPr>
        <w:t>5</w:t>
      </w:r>
      <w:r w:rsidR="00C35D21" w:rsidRPr="00773F59">
        <w:rPr>
          <w:color w:val="000000" w:themeColor="text1"/>
          <w:vertAlign w:val="superscript"/>
        </w:rPr>
        <w:t>,1</w:t>
      </w:r>
      <w:r w:rsidR="002C1F55">
        <w:rPr>
          <w:color w:val="000000" w:themeColor="text1"/>
          <w:vertAlign w:val="superscript"/>
        </w:rPr>
        <w:t>6</w:t>
      </w:r>
      <w:r w:rsidR="00797A0A">
        <w:rPr>
          <w:color w:val="000000" w:themeColor="text1"/>
        </w:rPr>
        <w:t xml:space="preserve"> têm mostrado que o</w:t>
      </w:r>
      <w:r w:rsidRPr="00773F59">
        <w:rPr>
          <w:color w:val="000000" w:themeColor="text1"/>
        </w:rPr>
        <w:t xml:space="preserve"> XLIF pode estar associada a meno</w:t>
      </w:r>
      <w:r w:rsidR="00797A0A">
        <w:rPr>
          <w:color w:val="000000" w:themeColor="text1"/>
        </w:rPr>
        <w:t>res</w:t>
      </w:r>
      <w:r w:rsidRPr="00773F59">
        <w:rPr>
          <w:color w:val="000000" w:themeColor="text1"/>
        </w:rPr>
        <w:t xml:space="preserve"> complicações </w:t>
      </w:r>
      <w:r w:rsidR="00FF647B" w:rsidRPr="00773F59">
        <w:rPr>
          <w:color w:val="000000" w:themeColor="text1"/>
        </w:rPr>
        <w:t xml:space="preserve">em comparação com procedimentos </w:t>
      </w:r>
      <w:r w:rsidR="00797A0A">
        <w:rPr>
          <w:color w:val="000000" w:themeColor="text1"/>
        </w:rPr>
        <w:t>realizados pelas</w:t>
      </w:r>
      <w:r w:rsidR="00FF647B" w:rsidRPr="00773F59">
        <w:rPr>
          <w:color w:val="000000" w:themeColor="text1"/>
        </w:rPr>
        <w:t xml:space="preserve"> vias de acesso</w:t>
      </w:r>
      <w:r w:rsidR="00797A0A">
        <w:rPr>
          <w:color w:val="000000" w:themeColor="text1"/>
        </w:rPr>
        <w:t xml:space="preserve"> posteriores</w:t>
      </w:r>
      <w:r w:rsidR="00FF647B" w:rsidRPr="00773F59">
        <w:rPr>
          <w:color w:val="000000" w:themeColor="text1"/>
        </w:rPr>
        <w:t xml:space="preserve"> tradiciona</w:t>
      </w:r>
      <w:r w:rsidR="000A6EFF" w:rsidRPr="00773F59">
        <w:rPr>
          <w:color w:val="000000" w:themeColor="text1"/>
        </w:rPr>
        <w:t>is</w:t>
      </w:r>
      <w:r w:rsidR="00151D36" w:rsidRPr="00773F59">
        <w:rPr>
          <w:color w:val="000000" w:themeColor="text1"/>
        </w:rPr>
        <w:t>.</w:t>
      </w:r>
      <w:r w:rsidRPr="00773F59">
        <w:rPr>
          <w:color w:val="000000" w:themeColor="text1"/>
        </w:rPr>
        <w:t xml:space="preserve"> Apesar</w:t>
      </w:r>
      <w:r w:rsidRPr="00773F59">
        <w:rPr>
          <w:color w:val="000000"/>
        </w:rPr>
        <w:t xml:space="preserve"> disso, os dados da literatura ainda não demonstraram evidências suficientes para comparação de eficácia entre as técnicas.</w:t>
      </w:r>
    </w:p>
    <w:p w:rsidR="00E86F5D" w:rsidRPr="00773F59" w:rsidRDefault="00CA5044" w:rsidP="00773F59">
      <w:pPr>
        <w:spacing w:line="480" w:lineRule="auto"/>
        <w:ind w:firstLine="851"/>
        <w:jc w:val="both"/>
        <w:rPr>
          <w:color w:val="000000"/>
          <w:shd w:val="clear" w:color="auto" w:fill="FFFFFF"/>
        </w:rPr>
      </w:pPr>
      <w:r w:rsidRPr="00773F59">
        <w:rPr>
          <w:color w:val="000000"/>
          <w:shd w:val="clear" w:color="auto" w:fill="FFFFFF"/>
        </w:rPr>
        <w:t xml:space="preserve">A taxa de complicações deste estudo foi de 8,9%, proporcionalmente menor se comparado </w:t>
      </w:r>
      <w:r w:rsidR="00797A0A">
        <w:rPr>
          <w:color w:val="000000"/>
          <w:shd w:val="clear" w:color="auto" w:fill="FFFFFF"/>
        </w:rPr>
        <w:t>a</w:t>
      </w:r>
      <w:r w:rsidRPr="00773F59">
        <w:rPr>
          <w:color w:val="000000"/>
          <w:shd w:val="clear" w:color="auto" w:fill="FFFFFF"/>
        </w:rPr>
        <w:t xml:space="preserve"> mesma técnica estudada pelos autores Paterakis</w:t>
      </w:r>
      <w:r w:rsidR="00797A0A">
        <w:rPr>
          <w:color w:val="000000"/>
          <w:shd w:val="clear" w:color="auto" w:fill="FFFFFF"/>
        </w:rPr>
        <w:t xml:space="preserve"> </w:t>
      </w:r>
      <w:r w:rsidRPr="00773F59">
        <w:rPr>
          <w:i/>
          <w:iCs/>
          <w:color w:val="000000"/>
          <w:shd w:val="clear" w:color="auto" w:fill="FFFFFF"/>
        </w:rPr>
        <w:t>et al</w:t>
      </w:r>
      <w:r w:rsidR="00C35D21" w:rsidRPr="00773F59">
        <w:rPr>
          <w:color w:val="000000"/>
          <w:shd w:val="clear" w:color="auto" w:fill="FFFFFF"/>
        </w:rPr>
        <w:t>.</w:t>
      </w:r>
      <w:r w:rsidR="00C35D21" w:rsidRPr="00773F59">
        <w:rPr>
          <w:color w:val="000000"/>
          <w:shd w:val="clear" w:color="auto" w:fill="FFFFFF"/>
          <w:vertAlign w:val="superscript"/>
        </w:rPr>
        <w:t>12</w:t>
      </w:r>
      <w:r w:rsidRPr="00773F59">
        <w:rPr>
          <w:color w:val="000000"/>
          <w:shd w:val="clear" w:color="auto" w:fill="FFFFFF"/>
        </w:rPr>
        <w:t>, que tiveram três complicações de um total de 12 pacientes (taxa de 25%). Ocorre</w:t>
      </w:r>
      <w:r w:rsidR="000A6EFF" w:rsidRPr="00773F59">
        <w:rPr>
          <w:color w:val="000000"/>
          <w:shd w:val="clear" w:color="auto" w:fill="FFFFFF"/>
        </w:rPr>
        <w:t>ra</w:t>
      </w:r>
      <w:r w:rsidRPr="00773F59">
        <w:rPr>
          <w:color w:val="000000"/>
          <w:shd w:val="clear" w:color="auto" w:fill="FFFFFF"/>
        </w:rPr>
        <w:t>m apenas complicações menores</w:t>
      </w:r>
      <w:r w:rsidR="000A6EFF" w:rsidRPr="00773F59">
        <w:rPr>
          <w:color w:val="000000"/>
          <w:shd w:val="clear" w:color="auto" w:fill="FFFFFF"/>
        </w:rPr>
        <w:t xml:space="preserve"> no presente estudo,</w:t>
      </w:r>
      <w:r w:rsidRPr="00773F59">
        <w:rPr>
          <w:color w:val="000000"/>
          <w:shd w:val="clear" w:color="auto" w:fill="FFFFFF"/>
        </w:rPr>
        <w:t xml:space="preserve"> sendo dois casos de abertura pleural </w:t>
      </w:r>
      <w:r w:rsidR="001C5DCE" w:rsidRPr="00773F59">
        <w:rPr>
          <w:color w:val="000000" w:themeColor="text1"/>
          <w:shd w:val="clear" w:color="auto" w:fill="FFFFFF"/>
        </w:rPr>
        <w:t xml:space="preserve">na abordagem </w:t>
      </w:r>
      <w:r w:rsidR="006A60ED" w:rsidRPr="00773F59">
        <w:rPr>
          <w:color w:val="000000" w:themeColor="text1"/>
          <w:shd w:val="clear" w:color="auto" w:fill="FFFFFF"/>
        </w:rPr>
        <w:t xml:space="preserve">torácica </w:t>
      </w:r>
      <w:r w:rsidR="001C5DCE" w:rsidRPr="00773F59">
        <w:rPr>
          <w:color w:val="000000" w:themeColor="text1"/>
          <w:shd w:val="clear" w:color="auto" w:fill="FFFFFF"/>
        </w:rPr>
        <w:t>(4,4%)</w:t>
      </w:r>
      <w:r w:rsidR="006A60ED" w:rsidRPr="00773F59">
        <w:rPr>
          <w:color w:val="000000" w:themeColor="text1"/>
          <w:shd w:val="clear" w:color="auto" w:fill="FFFFFF"/>
        </w:rPr>
        <w:t xml:space="preserve">, </w:t>
      </w:r>
      <w:r w:rsidRPr="00773F59">
        <w:rPr>
          <w:color w:val="000000" w:themeColor="text1"/>
          <w:shd w:val="clear" w:color="auto" w:fill="FFFFFF"/>
        </w:rPr>
        <w:t xml:space="preserve">um caso de migração lateral do </w:t>
      </w:r>
      <w:r w:rsidR="00797A0A" w:rsidRPr="00797A0A">
        <w:rPr>
          <w:iCs/>
          <w:color w:val="000000" w:themeColor="text1"/>
          <w:shd w:val="clear" w:color="auto" w:fill="FFFFFF"/>
        </w:rPr>
        <w:t>implante</w:t>
      </w:r>
      <w:r w:rsidRPr="00773F59">
        <w:rPr>
          <w:color w:val="000000" w:themeColor="text1"/>
          <w:shd w:val="clear" w:color="auto" w:fill="FFFFFF"/>
        </w:rPr>
        <w:t xml:space="preserve"> (2,2%) e</w:t>
      </w:r>
      <w:r w:rsidRPr="00773F59">
        <w:rPr>
          <w:color w:val="000000"/>
          <w:shd w:val="clear" w:color="auto" w:fill="FFFFFF"/>
        </w:rPr>
        <w:t xml:space="preserve"> um caso de </w:t>
      </w:r>
      <w:r w:rsidRPr="00797A0A">
        <w:rPr>
          <w:iCs/>
          <w:color w:val="000000"/>
          <w:shd w:val="clear" w:color="auto" w:fill="FFFFFF"/>
        </w:rPr>
        <w:t>subsidenc</w:t>
      </w:r>
      <w:r w:rsidR="00797A0A" w:rsidRPr="00797A0A">
        <w:rPr>
          <w:iCs/>
          <w:color w:val="000000"/>
          <w:shd w:val="clear" w:color="auto" w:fill="FFFFFF"/>
        </w:rPr>
        <w:t>ência</w:t>
      </w:r>
      <w:r w:rsidRPr="00773F59">
        <w:rPr>
          <w:color w:val="000000"/>
          <w:shd w:val="clear" w:color="auto" w:fill="FFFFFF"/>
        </w:rPr>
        <w:t xml:space="preserve"> (2,2%). Não houve óbito, lesão neurológica ou abdominal</w:t>
      </w:r>
      <w:r w:rsidR="00C35D21" w:rsidRPr="00773F59">
        <w:rPr>
          <w:color w:val="000000"/>
          <w:shd w:val="clear" w:color="auto" w:fill="FFFFFF"/>
        </w:rPr>
        <w:t>.</w:t>
      </w:r>
    </w:p>
    <w:p w:rsidR="00E01347" w:rsidRPr="00773F59" w:rsidRDefault="00E86F5D" w:rsidP="00773F59">
      <w:pPr>
        <w:spacing w:line="480" w:lineRule="auto"/>
        <w:ind w:firstLine="851"/>
        <w:jc w:val="both"/>
      </w:pPr>
      <w:r w:rsidRPr="00773F59">
        <w:lastRenderedPageBreak/>
        <w:t xml:space="preserve">A </w:t>
      </w:r>
      <w:r w:rsidR="00E01347" w:rsidRPr="00773F59">
        <w:t>opção</w:t>
      </w:r>
      <w:r w:rsidR="00797A0A">
        <w:t xml:space="preserve"> </w:t>
      </w:r>
      <w:r w:rsidR="00797A0A" w:rsidRPr="00797A0A">
        <w:rPr>
          <w:iCs/>
        </w:rPr>
        <w:t>do implante</w:t>
      </w:r>
      <w:r w:rsidR="00797A0A">
        <w:rPr>
          <w:i/>
          <w:iCs/>
        </w:rPr>
        <w:t xml:space="preserve"> </w:t>
      </w:r>
      <w:r w:rsidR="00797A0A">
        <w:t>sem suplementação adicional posterior</w:t>
      </w:r>
      <w:r w:rsidR="00E01347" w:rsidRPr="00773F59">
        <w:t xml:space="preserve"> realizada em 35 pacientes (77,8%) consiste em uma técnica efetuada </w:t>
      </w:r>
      <w:r w:rsidRPr="00773F59">
        <w:t xml:space="preserve">com </w:t>
      </w:r>
      <w:r w:rsidR="00797A0A" w:rsidRPr="00797A0A">
        <w:rPr>
          <w:iCs/>
        </w:rPr>
        <w:t>caixas</w:t>
      </w:r>
      <w:r w:rsidR="00797A0A">
        <w:rPr>
          <w:i/>
          <w:iCs/>
        </w:rPr>
        <w:t xml:space="preserve"> </w:t>
      </w:r>
      <w:r w:rsidR="00797A0A">
        <w:t>intersomáticas apenas impactadas ou fixadas</w:t>
      </w:r>
      <w:r w:rsidRPr="00773F59">
        <w:t xml:space="preserve"> no espaço discal, sem o uso adicional de parafusos e placas como ocorre nas técnicas tradicionais</w:t>
      </w:r>
      <w:r w:rsidR="00E01347" w:rsidRPr="00773F59">
        <w:rPr>
          <w:vertAlign w:val="superscript"/>
        </w:rPr>
        <w:t>1</w:t>
      </w:r>
      <w:r w:rsidR="002C1F55">
        <w:rPr>
          <w:vertAlign w:val="superscript"/>
        </w:rPr>
        <w:t>7</w:t>
      </w:r>
      <w:r w:rsidRPr="00773F59">
        <w:t xml:space="preserve">. Seu uso deve ser recomendado para </w:t>
      </w:r>
      <w:r w:rsidR="00797A0A">
        <w:t>casos que não apresentem instabilidade</w:t>
      </w:r>
      <w:r w:rsidRPr="00773F59">
        <w:t xml:space="preserve">, </w:t>
      </w:r>
      <w:r w:rsidR="00C8338B">
        <w:t>osteoporose ou perdas ósseas locais</w:t>
      </w:r>
      <w:r w:rsidR="00E01347" w:rsidRPr="00773F59">
        <w:rPr>
          <w:vertAlign w:val="superscript"/>
        </w:rPr>
        <w:t>1</w:t>
      </w:r>
      <w:r w:rsidR="002C1F55">
        <w:rPr>
          <w:vertAlign w:val="superscript"/>
        </w:rPr>
        <w:t>8</w:t>
      </w:r>
      <w:r w:rsidRPr="00773F59">
        <w:t>. Nos casos de paciente</w:t>
      </w:r>
      <w:r w:rsidR="00C8338B">
        <w:t>s</w:t>
      </w:r>
      <w:r w:rsidRPr="00773F59">
        <w:t xml:space="preserve"> </w:t>
      </w:r>
      <w:r w:rsidR="00C8338B">
        <w:t>com estes critérios</w:t>
      </w:r>
      <w:r w:rsidRPr="00773F59">
        <w:t xml:space="preserve">, a fim de evitar as complicações como </w:t>
      </w:r>
      <w:r w:rsidR="00C8338B" w:rsidRPr="00C8338B">
        <w:rPr>
          <w:iCs/>
        </w:rPr>
        <w:t>subsidência</w:t>
      </w:r>
      <w:r w:rsidR="00C8338B">
        <w:rPr>
          <w:i/>
          <w:iCs/>
        </w:rPr>
        <w:t xml:space="preserve"> </w:t>
      </w:r>
      <w:r w:rsidRPr="00773F59">
        <w:t xml:space="preserve">e deslocamento </w:t>
      </w:r>
      <w:r w:rsidR="00C8338B">
        <w:t>do implante</w:t>
      </w:r>
      <w:r w:rsidRPr="00773F59">
        <w:rPr>
          <w:i/>
          <w:iCs/>
        </w:rPr>
        <w:t>,</w:t>
      </w:r>
      <w:r w:rsidRPr="00773F59">
        <w:t xml:space="preserve"> é recomendada a fixação suplementar </w:t>
      </w:r>
      <w:r w:rsidR="00C8338B">
        <w:t>posterior</w:t>
      </w:r>
      <w:r w:rsidRPr="00773F59">
        <w:rPr>
          <w:vertAlign w:val="superscript"/>
        </w:rPr>
        <w:t>4</w:t>
      </w:r>
      <w:r w:rsidRPr="00773F59">
        <w:t xml:space="preserve">. </w:t>
      </w:r>
      <w:r w:rsidR="00E01347" w:rsidRPr="00773F59">
        <w:t xml:space="preserve">Em nosso estudo foi necessária a suplementação posterior em 10 pacientes (22,2%), com apenas um caso de </w:t>
      </w:r>
      <w:r w:rsidR="00C8338B">
        <w:rPr>
          <w:iCs/>
        </w:rPr>
        <w:t>subsidê</w:t>
      </w:r>
      <w:r w:rsidR="00E01347" w:rsidRPr="00C8338B">
        <w:rPr>
          <w:iCs/>
        </w:rPr>
        <w:t>nc</w:t>
      </w:r>
      <w:r w:rsidR="00C8338B" w:rsidRPr="00C8338B">
        <w:rPr>
          <w:iCs/>
        </w:rPr>
        <w:t>ia</w:t>
      </w:r>
      <w:r w:rsidR="00E01347" w:rsidRPr="00773F59">
        <w:t xml:space="preserve"> (2,2%) e um caso de migração lateral </w:t>
      </w:r>
      <w:r w:rsidR="00C8338B">
        <w:t>do implante</w:t>
      </w:r>
      <w:r w:rsidR="00E01347" w:rsidRPr="00773F59">
        <w:t xml:space="preserve"> (2,2%).</w:t>
      </w:r>
    </w:p>
    <w:p w:rsidR="006A60ED" w:rsidRPr="00773F59" w:rsidRDefault="00CA5044" w:rsidP="00773F59">
      <w:pPr>
        <w:spacing w:line="480" w:lineRule="auto"/>
        <w:ind w:firstLine="851"/>
        <w:jc w:val="both"/>
        <w:rPr>
          <w:color w:val="000000" w:themeColor="text1"/>
        </w:rPr>
      </w:pPr>
      <w:r w:rsidRPr="00773F59">
        <w:rPr>
          <w:color w:val="000000" w:themeColor="text1"/>
        </w:rPr>
        <w:t>Foi identificada relação de melhor resultado na escala Oswestry a partir de 2019 (rs=-0,359; p=0,016), ano no qual a maioria das cirurgias foi realizada (60%), o que nos lev</w:t>
      </w:r>
      <w:r w:rsidR="006A60ED" w:rsidRPr="00773F59">
        <w:rPr>
          <w:color w:val="000000" w:themeColor="text1"/>
        </w:rPr>
        <w:t>a a</w:t>
      </w:r>
      <w:r w:rsidR="001C5DCE" w:rsidRPr="00773F59">
        <w:rPr>
          <w:color w:val="000000" w:themeColor="text1"/>
        </w:rPr>
        <w:t xml:space="preserve"> crer em uma </w:t>
      </w:r>
      <w:r w:rsidRPr="00773F59">
        <w:rPr>
          <w:color w:val="000000" w:themeColor="text1"/>
        </w:rPr>
        <w:t xml:space="preserve">possível correlação </w:t>
      </w:r>
      <w:r w:rsidR="006A60ED" w:rsidRPr="00773F59">
        <w:rPr>
          <w:color w:val="000000" w:themeColor="text1"/>
        </w:rPr>
        <w:t>com</w:t>
      </w:r>
      <w:r w:rsidRPr="00773F59">
        <w:rPr>
          <w:color w:val="000000" w:themeColor="text1"/>
        </w:rPr>
        <w:t xml:space="preserve"> o aprimoramento da técnica </w:t>
      </w:r>
      <w:r w:rsidR="006A60ED" w:rsidRPr="00773F59">
        <w:rPr>
          <w:color w:val="000000" w:themeColor="text1"/>
        </w:rPr>
        <w:t>e</w:t>
      </w:r>
      <w:r w:rsidR="00A55F68" w:rsidRPr="00773F59">
        <w:rPr>
          <w:color w:val="000000" w:themeColor="text1"/>
        </w:rPr>
        <w:t xml:space="preserve"> maior habilidade da equipe, que estava mais treinada com uma técnica nova ao longo do tempo.</w:t>
      </w:r>
    </w:p>
    <w:p w:rsidR="00D12A4C" w:rsidRPr="00773F59" w:rsidRDefault="00CA5044" w:rsidP="00773F59">
      <w:pPr>
        <w:spacing w:line="480" w:lineRule="auto"/>
        <w:ind w:firstLine="851"/>
        <w:jc w:val="both"/>
        <w:rPr>
          <w:color w:val="000000"/>
        </w:rPr>
      </w:pPr>
      <w:r w:rsidRPr="00773F59">
        <w:rPr>
          <w:color w:val="000000"/>
        </w:rPr>
        <w:t>Vale ressaltar as limitações evidentes neste estudo por se tratar de uma pequena série de pacientes, além das restrições e redução do número de cirurgias durante o ano de 2020 devido à pandemia da COVID-19 pelo novo coronavírus (SARS-CoV-2). Estudos futuros com maior amostragem e maior tempo de avaliação pós-cirúrgica podem ampliar o conhecimento sobre a técnica.</w:t>
      </w:r>
    </w:p>
    <w:p w:rsidR="00D12A4C" w:rsidRDefault="00D12A4C" w:rsidP="00773F59">
      <w:pPr>
        <w:spacing w:line="480" w:lineRule="auto"/>
        <w:ind w:firstLine="851"/>
        <w:jc w:val="both"/>
        <w:rPr>
          <w:color w:val="000000"/>
        </w:rPr>
      </w:pPr>
    </w:p>
    <w:p w:rsidR="000853F7" w:rsidRDefault="000853F7" w:rsidP="00773F59">
      <w:pPr>
        <w:spacing w:line="480" w:lineRule="auto"/>
        <w:ind w:firstLine="851"/>
        <w:jc w:val="both"/>
        <w:rPr>
          <w:color w:val="000000"/>
        </w:rPr>
      </w:pPr>
    </w:p>
    <w:p w:rsidR="000853F7" w:rsidRPr="00773F59" w:rsidRDefault="000853F7" w:rsidP="00773F59">
      <w:pPr>
        <w:spacing w:line="480" w:lineRule="auto"/>
        <w:ind w:firstLine="851"/>
        <w:jc w:val="both"/>
        <w:rPr>
          <w:color w:val="000000"/>
        </w:rPr>
      </w:pPr>
    </w:p>
    <w:p w:rsidR="00CA5044" w:rsidRPr="00773F59" w:rsidRDefault="00CA5044" w:rsidP="00773F59">
      <w:pPr>
        <w:pStyle w:val="Ttulo1"/>
        <w:numPr>
          <w:ilvl w:val="0"/>
          <w:numId w:val="0"/>
        </w:numPr>
        <w:spacing w:line="480" w:lineRule="auto"/>
        <w:jc w:val="both"/>
        <w:rPr>
          <w:szCs w:val="24"/>
        </w:rPr>
      </w:pPr>
      <w:bookmarkStart w:id="48" w:name="_Toc64033318"/>
      <w:bookmarkStart w:id="49" w:name="_Toc64898667"/>
      <w:r w:rsidRPr="00773F59">
        <w:rPr>
          <w:szCs w:val="24"/>
        </w:rPr>
        <w:t>CONCLUSÃO</w:t>
      </w:r>
      <w:bookmarkEnd w:id="48"/>
      <w:bookmarkEnd w:id="49"/>
    </w:p>
    <w:p w:rsidR="00151D36" w:rsidRPr="00773F59" w:rsidRDefault="00CA5044" w:rsidP="00773F59">
      <w:pPr>
        <w:spacing w:line="480" w:lineRule="auto"/>
        <w:ind w:firstLine="851"/>
        <w:jc w:val="both"/>
        <w:rPr>
          <w:color w:val="000000"/>
        </w:rPr>
      </w:pPr>
      <w:r w:rsidRPr="00773F59">
        <w:rPr>
          <w:color w:val="000000"/>
        </w:rPr>
        <w:t>A abordagem cirúrgica minimamente invasiva realizada pela via extremo lateral (XLIF) apresenta baixos índices de complicaç</w:t>
      </w:r>
      <w:r w:rsidR="00A174F8" w:rsidRPr="00773F59">
        <w:rPr>
          <w:color w:val="000000"/>
        </w:rPr>
        <w:t xml:space="preserve">ão, melhora da lordose lombar </w:t>
      </w:r>
      <w:r w:rsidRPr="00773F59">
        <w:rPr>
          <w:color w:val="000000"/>
        </w:rPr>
        <w:t xml:space="preserve">e </w:t>
      </w:r>
      <w:r w:rsidRPr="00773F59">
        <w:rPr>
          <w:color w:val="000000"/>
        </w:rPr>
        <w:lastRenderedPageBreak/>
        <w:t>permite a recuperação às atividades diárias em curto período de tempo, além de desempenhar melhora estatisticamente significativa na qualidade de vida</w:t>
      </w:r>
      <w:r w:rsidR="00A174F8" w:rsidRPr="00773F59">
        <w:rPr>
          <w:color w:val="000000"/>
        </w:rPr>
        <w:t xml:space="preserve"> e</w:t>
      </w:r>
      <w:r w:rsidRPr="00773F59">
        <w:rPr>
          <w:color w:val="000000"/>
        </w:rPr>
        <w:t xml:space="preserve"> no quadro álgico </w:t>
      </w:r>
      <w:r w:rsidR="00A174F8" w:rsidRPr="00773F59">
        <w:rPr>
          <w:color w:val="000000"/>
        </w:rPr>
        <w:t xml:space="preserve">segundo as escalas de EVA e ODI, </w:t>
      </w:r>
      <w:r w:rsidRPr="00773F59">
        <w:rPr>
          <w:color w:val="000000"/>
        </w:rPr>
        <w:t>sendo</w:t>
      </w:r>
      <w:r w:rsidR="00236A4E" w:rsidRPr="00773F59">
        <w:rPr>
          <w:color w:val="000000"/>
        </w:rPr>
        <w:t xml:space="preserve">, portanto, </w:t>
      </w:r>
      <w:r w:rsidRPr="00773F59">
        <w:rPr>
          <w:color w:val="000000"/>
        </w:rPr>
        <w:t>uma técnica viável e eficaz de tratamento.</w:t>
      </w:r>
      <w:bookmarkEnd w:id="19"/>
      <w:bookmarkEnd w:id="20"/>
      <w:bookmarkEnd w:id="21"/>
      <w:bookmarkEnd w:id="22"/>
      <w:bookmarkEnd w:id="23"/>
      <w:bookmarkEnd w:id="24"/>
    </w:p>
    <w:p w:rsidR="00F6143F" w:rsidRPr="00773F59" w:rsidRDefault="00F6143F" w:rsidP="00773F59">
      <w:pPr>
        <w:spacing w:line="480" w:lineRule="auto"/>
        <w:ind w:firstLine="851"/>
        <w:jc w:val="both"/>
        <w:rPr>
          <w:color w:val="000000"/>
        </w:rPr>
      </w:pPr>
    </w:p>
    <w:p w:rsidR="0067140D" w:rsidRPr="00F24990" w:rsidRDefault="0067140D" w:rsidP="00773F59">
      <w:pPr>
        <w:spacing w:line="480" w:lineRule="auto"/>
        <w:jc w:val="both"/>
        <w:rPr>
          <w:b/>
          <w:bCs/>
          <w:color w:val="000000"/>
        </w:rPr>
      </w:pPr>
      <w:r w:rsidRPr="00773F59">
        <w:rPr>
          <w:b/>
          <w:bCs/>
          <w:color w:val="000000"/>
        </w:rPr>
        <w:t>Conflitos de interesse:</w:t>
      </w:r>
      <w:r w:rsidR="00674F3B" w:rsidRPr="00773F59">
        <w:rPr>
          <w:color w:val="000000"/>
        </w:rPr>
        <w:t>Os autores declaram inexistência de conflito de interesses na realização deste trabalho.</w:t>
      </w:r>
    </w:p>
    <w:p w:rsidR="00022906" w:rsidRPr="00773F59" w:rsidRDefault="00022906" w:rsidP="00773F59">
      <w:pPr>
        <w:spacing w:line="480" w:lineRule="auto"/>
        <w:jc w:val="both"/>
        <w:rPr>
          <w:color w:val="000000"/>
        </w:rPr>
      </w:pPr>
    </w:p>
    <w:p w:rsidR="00674F3B" w:rsidRDefault="00674F3B" w:rsidP="00773F59">
      <w:pPr>
        <w:spacing w:line="480" w:lineRule="auto"/>
        <w:jc w:val="both"/>
        <w:rPr>
          <w:b/>
          <w:color w:val="000000" w:themeColor="text1"/>
          <w:lang w:val="en-US"/>
        </w:rPr>
      </w:pPr>
    </w:p>
    <w:p w:rsidR="000853F7" w:rsidRDefault="000853F7" w:rsidP="00773F59">
      <w:pPr>
        <w:spacing w:line="480" w:lineRule="auto"/>
        <w:jc w:val="both"/>
        <w:rPr>
          <w:b/>
          <w:color w:val="000000" w:themeColor="text1"/>
          <w:lang w:val="en-US"/>
        </w:rPr>
      </w:pPr>
    </w:p>
    <w:p w:rsidR="000853F7" w:rsidRDefault="000853F7" w:rsidP="00773F59">
      <w:pPr>
        <w:spacing w:line="480" w:lineRule="auto"/>
        <w:jc w:val="both"/>
        <w:rPr>
          <w:b/>
          <w:color w:val="000000" w:themeColor="text1"/>
          <w:lang w:val="en-US"/>
        </w:rPr>
      </w:pPr>
    </w:p>
    <w:p w:rsidR="000853F7" w:rsidRDefault="000853F7" w:rsidP="00773F59">
      <w:pPr>
        <w:spacing w:line="480" w:lineRule="auto"/>
        <w:jc w:val="both"/>
        <w:rPr>
          <w:b/>
          <w:color w:val="000000" w:themeColor="text1"/>
          <w:lang w:val="en-US"/>
        </w:rPr>
      </w:pPr>
    </w:p>
    <w:p w:rsidR="000853F7" w:rsidRPr="00773F59" w:rsidRDefault="000853F7" w:rsidP="00773F59">
      <w:pPr>
        <w:spacing w:line="480" w:lineRule="auto"/>
        <w:jc w:val="both"/>
        <w:rPr>
          <w:b/>
          <w:color w:val="000000" w:themeColor="text1"/>
          <w:lang w:val="en-US"/>
        </w:rPr>
      </w:pPr>
    </w:p>
    <w:p w:rsidR="00C35D21" w:rsidRPr="00773F59" w:rsidRDefault="00C35D21" w:rsidP="00773F59">
      <w:pPr>
        <w:tabs>
          <w:tab w:val="left" w:leader="dot" w:pos="8647"/>
        </w:tabs>
        <w:snapToGrid w:val="0"/>
        <w:spacing w:line="480" w:lineRule="auto"/>
        <w:ind w:right="425"/>
        <w:jc w:val="both"/>
        <w:rPr>
          <w:b/>
          <w:color w:val="000000" w:themeColor="text1"/>
        </w:rPr>
      </w:pPr>
      <w:r w:rsidRPr="00773F59">
        <w:rPr>
          <w:b/>
          <w:color w:val="000000" w:themeColor="text1"/>
        </w:rPr>
        <w:t xml:space="preserve">REFERÊNCIAS  </w:t>
      </w:r>
    </w:p>
    <w:p w:rsidR="00C35D21" w:rsidRPr="00773F59" w:rsidRDefault="00C35D21" w:rsidP="00773F59">
      <w:pPr>
        <w:widowControl w:val="0"/>
        <w:tabs>
          <w:tab w:val="left" w:pos="220"/>
        </w:tabs>
        <w:spacing w:after="186" w:line="480" w:lineRule="auto"/>
        <w:jc w:val="both"/>
        <w:rPr>
          <w:color w:val="000000" w:themeColor="text1"/>
        </w:rPr>
      </w:pPr>
    </w:p>
    <w:p w:rsidR="00C35D21" w:rsidRPr="00773F59" w:rsidRDefault="00C35D21" w:rsidP="00773F59">
      <w:pPr>
        <w:widowControl w:val="0"/>
        <w:numPr>
          <w:ilvl w:val="0"/>
          <w:numId w:val="1"/>
        </w:numPr>
        <w:tabs>
          <w:tab w:val="left" w:pos="220"/>
        </w:tabs>
        <w:spacing w:after="213" w:line="480" w:lineRule="auto"/>
        <w:ind w:left="0" w:firstLine="0"/>
        <w:jc w:val="both"/>
        <w:rPr>
          <w:color w:val="000000" w:themeColor="text1"/>
          <w:lang w:val="en-US"/>
        </w:rPr>
      </w:pPr>
      <w:r w:rsidRPr="00773F59">
        <w:rPr>
          <w:color w:val="000000" w:themeColor="text1"/>
          <w:lang w:val="en-US"/>
        </w:rPr>
        <w:t xml:space="preserve">Tay BB, Berven S. Indications, techniques, and complications of lumbar interbody fusion. Seminars in Neurology. 2002; 22:221– 320. </w:t>
      </w:r>
    </w:p>
    <w:p w:rsidR="00C35D21" w:rsidRPr="000853F7" w:rsidRDefault="00C35D21" w:rsidP="00773F59">
      <w:pPr>
        <w:widowControl w:val="0"/>
        <w:numPr>
          <w:ilvl w:val="0"/>
          <w:numId w:val="1"/>
        </w:numPr>
        <w:tabs>
          <w:tab w:val="left" w:pos="220"/>
        </w:tabs>
        <w:spacing w:after="213" w:line="480" w:lineRule="auto"/>
        <w:ind w:left="0" w:firstLine="0"/>
        <w:jc w:val="both"/>
        <w:rPr>
          <w:color w:val="000000" w:themeColor="text1"/>
          <w:lang w:val="en-US"/>
        </w:rPr>
      </w:pPr>
      <w:r w:rsidRPr="00773F59">
        <w:rPr>
          <w:color w:val="000000" w:themeColor="text1"/>
          <w:lang w:val="en-US"/>
        </w:rPr>
        <w:t xml:space="preserve">Winder MJ, Gambhir S. Comparison of ALIF vs. XLIF for L4/5 interbody fusion: pros, cons, and literature review. </w:t>
      </w:r>
      <w:r w:rsidRPr="000853F7">
        <w:rPr>
          <w:color w:val="000000" w:themeColor="text1"/>
          <w:lang w:val="en-US"/>
        </w:rPr>
        <w:t>J Spine Surg. 2016;2(1):2-8.</w:t>
      </w:r>
    </w:p>
    <w:p w:rsidR="00C35D21" w:rsidRPr="00773F59" w:rsidRDefault="00C35D21" w:rsidP="00773F59">
      <w:pPr>
        <w:widowControl w:val="0"/>
        <w:numPr>
          <w:ilvl w:val="0"/>
          <w:numId w:val="1"/>
        </w:numPr>
        <w:tabs>
          <w:tab w:val="left" w:pos="220"/>
        </w:tabs>
        <w:spacing w:after="213" w:line="480" w:lineRule="auto"/>
        <w:ind w:left="0" w:firstLine="0"/>
        <w:jc w:val="both"/>
        <w:rPr>
          <w:color w:val="000000" w:themeColor="text1"/>
        </w:rPr>
      </w:pPr>
      <w:r w:rsidRPr="00773F59">
        <w:rPr>
          <w:color w:val="000000" w:themeColor="text1"/>
          <w:lang w:val="en-US"/>
        </w:rPr>
        <w:t xml:space="preserve">Brantigan JW, Steffee AD. A carbon fiber implant to aid interbody lumbar fusion. Two-year clinical results in the first 26 patients. Spine (Phila PA 1976). </w:t>
      </w:r>
      <w:r w:rsidRPr="00773F59">
        <w:rPr>
          <w:color w:val="000000" w:themeColor="text1"/>
        </w:rPr>
        <w:t>1993;18(14):2106-7.</w:t>
      </w:r>
    </w:p>
    <w:p w:rsidR="00C35D21" w:rsidRPr="00773F59" w:rsidRDefault="00C35D21" w:rsidP="00773F59">
      <w:pPr>
        <w:widowControl w:val="0"/>
        <w:numPr>
          <w:ilvl w:val="0"/>
          <w:numId w:val="1"/>
        </w:numPr>
        <w:tabs>
          <w:tab w:val="left" w:pos="220"/>
        </w:tabs>
        <w:spacing w:after="213" w:line="480" w:lineRule="auto"/>
        <w:ind w:left="0" w:firstLine="0"/>
        <w:jc w:val="both"/>
        <w:rPr>
          <w:color w:val="000000" w:themeColor="text1"/>
        </w:rPr>
      </w:pPr>
      <w:r w:rsidRPr="00773F59">
        <w:rPr>
          <w:color w:val="000000" w:themeColor="text1"/>
        </w:rPr>
        <w:t>Amaral R, Marchi L, Oliveira L, Coutinho T, Castro C, Coutinho E</w:t>
      </w:r>
      <w:r w:rsidR="00495E0F" w:rsidRPr="00773F59">
        <w:rPr>
          <w:color w:val="000000" w:themeColor="text1"/>
        </w:rPr>
        <w:t xml:space="preserve"> et al</w:t>
      </w:r>
      <w:r w:rsidRPr="00773F59">
        <w:rPr>
          <w:color w:val="000000" w:themeColor="text1"/>
        </w:rPr>
        <w:t xml:space="preserve">. Opção minimamente invasiva lateral para artrodese intersomáticatóraco-lombar. </w:t>
      </w:r>
      <w:r w:rsidRPr="00773F59">
        <w:rPr>
          <w:color w:val="000000" w:themeColor="text1"/>
        </w:rPr>
        <w:lastRenderedPageBreak/>
        <w:t>Coluna/Columna. 2011; 10(3): 239-43.</w:t>
      </w:r>
    </w:p>
    <w:p w:rsidR="00C35D21" w:rsidRPr="00773F59" w:rsidRDefault="00C35D21" w:rsidP="00773F59">
      <w:pPr>
        <w:widowControl w:val="0"/>
        <w:numPr>
          <w:ilvl w:val="0"/>
          <w:numId w:val="1"/>
        </w:numPr>
        <w:tabs>
          <w:tab w:val="left" w:pos="220"/>
        </w:tabs>
        <w:spacing w:after="213" w:line="480" w:lineRule="auto"/>
        <w:ind w:left="0" w:firstLine="0"/>
        <w:jc w:val="both"/>
        <w:rPr>
          <w:color w:val="000000" w:themeColor="text1"/>
          <w:lang w:val="en-US"/>
        </w:rPr>
      </w:pPr>
      <w:r w:rsidRPr="00773F59">
        <w:rPr>
          <w:color w:val="000000" w:themeColor="text1"/>
          <w:lang w:val="en-US"/>
        </w:rPr>
        <w:t>Pimenta L, Vigna F, Bellera F, Schaffa T, Malcolm J, McAfee A. New minimally invasive surgical technique for adult lumbar degenerative scoliosis. Proceedings of the 11th International Meeting on Advanced Spine Techniques (IMAST), Southampton, Bermuda. 2004.</w:t>
      </w:r>
    </w:p>
    <w:p w:rsidR="00C35D21" w:rsidRPr="00773F59" w:rsidRDefault="00C35D21" w:rsidP="00773F59">
      <w:pPr>
        <w:widowControl w:val="0"/>
        <w:numPr>
          <w:ilvl w:val="0"/>
          <w:numId w:val="1"/>
        </w:numPr>
        <w:tabs>
          <w:tab w:val="left" w:pos="220"/>
        </w:tabs>
        <w:spacing w:after="213" w:line="480" w:lineRule="auto"/>
        <w:ind w:left="0" w:firstLine="0"/>
        <w:jc w:val="both"/>
        <w:rPr>
          <w:color w:val="000000" w:themeColor="text1"/>
          <w:lang w:val="en-US"/>
        </w:rPr>
      </w:pPr>
      <w:r w:rsidRPr="00773F59">
        <w:rPr>
          <w:color w:val="000000" w:themeColor="text1"/>
          <w:lang w:val="en-US"/>
        </w:rPr>
        <w:t>Ozgur BM, Aryan HE, Pimenta L, Taylor WR. (2006) Extreme Lateral Interbody Fusion (XLIF): a novel surgical technique for anterior lumbar interbody fusion. Spine J. 2006;6(4):435–43.</w:t>
      </w:r>
    </w:p>
    <w:p w:rsidR="00C35D21" w:rsidRPr="00773F59" w:rsidRDefault="00C35D21" w:rsidP="00773F59">
      <w:pPr>
        <w:widowControl w:val="0"/>
        <w:numPr>
          <w:ilvl w:val="0"/>
          <w:numId w:val="1"/>
        </w:numPr>
        <w:tabs>
          <w:tab w:val="left" w:pos="220"/>
        </w:tabs>
        <w:spacing w:after="213" w:line="480" w:lineRule="auto"/>
        <w:ind w:left="0" w:firstLine="0"/>
        <w:jc w:val="both"/>
        <w:rPr>
          <w:color w:val="000000" w:themeColor="text1"/>
          <w:lang w:val="en-US"/>
        </w:rPr>
      </w:pPr>
      <w:r w:rsidRPr="00773F59">
        <w:rPr>
          <w:rFonts w:eastAsiaTheme="minorEastAsia"/>
          <w:color w:val="000000" w:themeColor="text1"/>
          <w:lang w:val="en-US" w:eastAsia="en-US"/>
        </w:rPr>
        <w:t xml:space="preserve">Arnold PM, Anderson KK, McGuire RA Jr. The lateral transpsoas approach to the lumbar and thoracic spine: A review. </w:t>
      </w:r>
      <w:r w:rsidRPr="00773F59">
        <w:rPr>
          <w:rFonts w:eastAsiaTheme="minorEastAsia"/>
          <w:color w:val="000000" w:themeColor="text1"/>
          <w:lang w:eastAsia="en-US"/>
        </w:rPr>
        <w:t>SurgNeurolInt 2012;3:S198-215.</w:t>
      </w:r>
    </w:p>
    <w:p w:rsidR="00C35D21" w:rsidRPr="00773F59" w:rsidRDefault="00C35D21" w:rsidP="00773F59">
      <w:pPr>
        <w:widowControl w:val="0"/>
        <w:numPr>
          <w:ilvl w:val="0"/>
          <w:numId w:val="1"/>
        </w:numPr>
        <w:tabs>
          <w:tab w:val="left" w:pos="220"/>
        </w:tabs>
        <w:spacing w:after="213" w:line="480" w:lineRule="auto"/>
        <w:ind w:left="0" w:firstLine="0"/>
        <w:jc w:val="both"/>
        <w:rPr>
          <w:color w:val="000000" w:themeColor="text1"/>
          <w:lang w:val="en-US"/>
        </w:rPr>
      </w:pPr>
      <w:r w:rsidRPr="00773F59">
        <w:rPr>
          <w:rFonts w:eastAsiaTheme="minorEastAsia"/>
          <w:color w:val="000000" w:themeColor="text1"/>
          <w:lang w:val="en-US" w:eastAsia="en-US"/>
        </w:rPr>
        <w:t xml:space="preserve">Mobbs RJ, Phan K, Malham G, Seex K, Rao PJ. </w:t>
      </w:r>
      <w:r w:rsidRPr="00773F59">
        <w:rPr>
          <w:rFonts w:eastAsiaTheme="minorEastAsia"/>
          <w:bCs/>
          <w:color w:val="000000" w:themeColor="text1"/>
          <w:lang w:val="en-US" w:eastAsia="en-US"/>
        </w:rPr>
        <w:t xml:space="preserve">Lumbar interbody fusion: techniques, indications and comparison of interbody fusion options including PLIF, TLIF, MI-TLIF, OLIF/ATP, LLIF and ALIF. </w:t>
      </w:r>
      <w:r w:rsidRPr="00773F59">
        <w:rPr>
          <w:rFonts w:eastAsiaTheme="minorEastAsia"/>
          <w:iCs/>
          <w:color w:val="000000" w:themeColor="text1"/>
          <w:lang w:eastAsia="en-US"/>
        </w:rPr>
        <w:t>J SpineSurg</w:t>
      </w:r>
      <w:r w:rsidRPr="00773F59">
        <w:rPr>
          <w:rFonts w:eastAsiaTheme="minorEastAsia"/>
          <w:color w:val="000000" w:themeColor="text1"/>
          <w:lang w:eastAsia="en-US"/>
        </w:rPr>
        <w:t>2015;1(1):2-18.</w:t>
      </w:r>
    </w:p>
    <w:p w:rsidR="00C35D21" w:rsidRPr="00773F59" w:rsidRDefault="00C35D21" w:rsidP="00773F59">
      <w:pPr>
        <w:widowControl w:val="0"/>
        <w:numPr>
          <w:ilvl w:val="0"/>
          <w:numId w:val="1"/>
        </w:numPr>
        <w:tabs>
          <w:tab w:val="left" w:pos="220"/>
        </w:tabs>
        <w:spacing w:after="186" w:line="480" w:lineRule="auto"/>
        <w:ind w:left="0" w:firstLine="0"/>
        <w:jc w:val="both"/>
        <w:rPr>
          <w:color w:val="000000" w:themeColor="text1"/>
          <w:lang w:val="en-US"/>
        </w:rPr>
      </w:pPr>
      <w:r w:rsidRPr="00773F59">
        <w:rPr>
          <w:rFonts w:eastAsiaTheme="minorEastAsia"/>
          <w:color w:val="000000" w:themeColor="text1"/>
          <w:lang w:val="en-US" w:eastAsia="en-US"/>
        </w:rPr>
        <w:t xml:space="preserve">Malham GM, Ellis NJ, Parker RM, et al. Maintenance of Segmental Lordosis and Disc Height in Standalone and Instrumented Extreme Lateral Interbody Fusion (XLIF). J Spinal Disord Tech 2014. </w:t>
      </w:r>
    </w:p>
    <w:p w:rsidR="00C35D21" w:rsidRPr="00773F59" w:rsidRDefault="00C35D21" w:rsidP="00773F59">
      <w:pPr>
        <w:widowControl w:val="0"/>
        <w:numPr>
          <w:ilvl w:val="0"/>
          <w:numId w:val="1"/>
        </w:numPr>
        <w:tabs>
          <w:tab w:val="left" w:pos="220"/>
        </w:tabs>
        <w:spacing w:after="186" w:line="480" w:lineRule="auto"/>
        <w:ind w:left="0" w:firstLine="0"/>
        <w:jc w:val="both"/>
        <w:rPr>
          <w:color w:val="000000" w:themeColor="text1"/>
          <w:lang w:val="en-US"/>
        </w:rPr>
      </w:pPr>
      <w:r w:rsidRPr="00773F59">
        <w:rPr>
          <w:rFonts w:eastAsiaTheme="minorEastAsia"/>
          <w:color w:val="000000" w:themeColor="text1"/>
          <w:lang w:val="it-IT" w:eastAsia="en-US"/>
        </w:rPr>
        <w:t xml:space="preserve">Barbagallo GM, Albanese V, Raich AL, et al. </w:t>
      </w:r>
      <w:r w:rsidRPr="00773F59">
        <w:rPr>
          <w:rFonts w:eastAsiaTheme="minorEastAsia"/>
          <w:color w:val="000000" w:themeColor="text1"/>
          <w:lang w:val="en-US" w:eastAsia="en-US"/>
        </w:rPr>
        <w:t>Lumbar Lateral Interbody Fusion (LLIF): Comparative Effectiveness and Safety versus PLIF/TLIF and Predictive Factors Affecting LLIF Outcome. Evid Based Spine Care J 2014;5:28-37.</w:t>
      </w:r>
    </w:p>
    <w:p w:rsidR="00C35D21" w:rsidRPr="000853F7" w:rsidRDefault="00C35D21" w:rsidP="00773F59">
      <w:pPr>
        <w:widowControl w:val="0"/>
        <w:numPr>
          <w:ilvl w:val="0"/>
          <w:numId w:val="1"/>
        </w:numPr>
        <w:tabs>
          <w:tab w:val="left" w:pos="220"/>
        </w:tabs>
        <w:spacing w:after="186" w:line="480" w:lineRule="auto"/>
        <w:ind w:left="0" w:firstLine="0"/>
        <w:jc w:val="both"/>
        <w:rPr>
          <w:color w:val="000000" w:themeColor="text1"/>
        </w:rPr>
      </w:pPr>
      <w:r w:rsidRPr="000853F7">
        <w:rPr>
          <w:color w:val="000000" w:themeColor="text1"/>
        </w:rPr>
        <w:t>Savarese LG, Menezes-Reis R, Bonugli GP, Herrero CFPS, Defino HLA, Nogueira-Barbosa MH. Equilíbrio sagital espinopélvico: o que o radiologista precisa saber? Radiol Bras. 2020 Mai/Jun;53(3):175–184.</w:t>
      </w:r>
    </w:p>
    <w:p w:rsidR="00C35D21" w:rsidRPr="000853F7" w:rsidRDefault="00C35D21" w:rsidP="00773F59">
      <w:pPr>
        <w:widowControl w:val="0"/>
        <w:numPr>
          <w:ilvl w:val="0"/>
          <w:numId w:val="1"/>
        </w:numPr>
        <w:tabs>
          <w:tab w:val="left" w:pos="220"/>
        </w:tabs>
        <w:spacing w:after="186" w:line="480" w:lineRule="auto"/>
        <w:ind w:left="0" w:firstLine="0"/>
        <w:jc w:val="both"/>
        <w:rPr>
          <w:color w:val="000000" w:themeColor="text1"/>
          <w:lang w:val="en-US"/>
        </w:rPr>
      </w:pPr>
      <w:r w:rsidRPr="000853F7">
        <w:rPr>
          <w:color w:val="000000" w:themeColor="text1"/>
          <w:lang w:val="en-US"/>
        </w:rPr>
        <w:lastRenderedPageBreak/>
        <w:t>Paterakis KN, Brotis AG, Paschalis A, Tzannis A, Fountas KN. Extreme lateral lumbar interbody fusion (XLIF) in the management of degenerative scoliosis: a retrospective case series. J Spine Surg 2018;4(3):610-615.</w:t>
      </w:r>
    </w:p>
    <w:p w:rsidR="00C35D21" w:rsidRPr="000853F7" w:rsidRDefault="00C35D21" w:rsidP="00773F59">
      <w:pPr>
        <w:widowControl w:val="0"/>
        <w:numPr>
          <w:ilvl w:val="0"/>
          <w:numId w:val="1"/>
        </w:numPr>
        <w:tabs>
          <w:tab w:val="left" w:pos="220"/>
        </w:tabs>
        <w:spacing w:after="186" w:line="480" w:lineRule="auto"/>
        <w:ind w:left="0" w:firstLine="0"/>
        <w:jc w:val="both"/>
        <w:rPr>
          <w:color w:val="000000" w:themeColor="text1"/>
        </w:rPr>
      </w:pPr>
      <w:r w:rsidRPr="00773F59">
        <w:rPr>
          <w:color w:val="000000" w:themeColor="text1"/>
          <w:lang w:val="en-US"/>
        </w:rPr>
        <w:t xml:space="preserve">Isaacs RE, Hyde J, Goodrich JA, Rodgers WB, Phillips FM. A prospective, nonrandomized, multicenter evaluation of extreme lateral interbody fusion for the treatment of adult degenerative scoliosis: perioperative outcomes and complications. </w:t>
      </w:r>
      <w:r w:rsidRPr="000853F7">
        <w:rPr>
          <w:color w:val="000000" w:themeColor="text1"/>
        </w:rPr>
        <w:t>Spine 2010; 35(26, Suppl):S322–S330</w:t>
      </w:r>
    </w:p>
    <w:p w:rsidR="00C35D21" w:rsidRPr="000853F7" w:rsidRDefault="00C35D21" w:rsidP="00773F59">
      <w:pPr>
        <w:widowControl w:val="0"/>
        <w:numPr>
          <w:ilvl w:val="0"/>
          <w:numId w:val="1"/>
        </w:numPr>
        <w:tabs>
          <w:tab w:val="left" w:pos="220"/>
        </w:tabs>
        <w:spacing w:after="186" w:line="480" w:lineRule="auto"/>
        <w:ind w:left="0" w:firstLine="0"/>
        <w:jc w:val="both"/>
        <w:rPr>
          <w:color w:val="000000" w:themeColor="text1"/>
          <w:lang w:val="en-US"/>
        </w:rPr>
      </w:pPr>
      <w:r w:rsidRPr="000853F7">
        <w:rPr>
          <w:color w:val="000000" w:themeColor="text1"/>
          <w:lang w:val="en-US"/>
        </w:rPr>
        <w:t>Klimov et al. LLIF in the correction of degenerative scoliosis in elderly patients. Coluna/Columna. 2020;19(4):243-8.</w:t>
      </w:r>
    </w:p>
    <w:p w:rsidR="00C35D21" w:rsidRPr="00773F59" w:rsidRDefault="00C35D21" w:rsidP="00773F59">
      <w:pPr>
        <w:widowControl w:val="0"/>
        <w:numPr>
          <w:ilvl w:val="0"/>
          <w:numId w:val="1"/>
        </w:numPr>
        <w:tabs>
          <w:tab w:val="left" w:pos="220"/>
        </w:tabs>
        <w:spacing w:after="186" w:line="480" w:lineRule="auto"/>
        <w:ind w:left="0" w:firstLine="0"/>
        <w:jc w:val="both"/>
        <w:rPr>
          <w:color w:val="000000" w:themeColor="text1"/>
          <w:lang w:val="en-US"/>
        </w:rPr>
      </w:pPr>
      <w:r w:rsidRPr="00773F59">
        <w:rPr>
          <w:color w:val="000000" w:themeColor="text1"/>
          <w:lang w:val="en-US"/>
        </w:rPr>
        <w:t>Rodgers WB, Gerber EJ, Patterson J. Intraoperative and early postoperative complications in extreme lateral interbody fusion: an analysis of 600 cases. Spine. 2011;36(1):26–32</w:t>
      </w:r>
    </w:p>
    <w:p w:rsidR="00E01347" w:rsidRPr="00773F59" w:rsidRDefault="00C35D21" w:rsidP="00773F59">
      <w:pPr>
        <w:widowControl w:val="0"/>
        <w:numPr>
          <w:ilvl w:val="0"/>
          <w:numId w:val="1"/>
        </w:numPr>
        <w:tabs>
          <w:tab w:val="left" w:pos="220"/>
        </w:tabs>
        <w:spacing w:after="186" w:line="480" w:lineRule="auto"/>
        <w:ind w:left="0" w:firstLine="0"/>
        <w:jc w:val="both"/>
        <w:rPr>
          <w:color w:val="000000" w:themeColor="text1"/>
          <w:lang w:val="en-US"/>
        </w:rPr>
      </w:pPr>
      <w:r w:rsidRPr="00773F59">
        <w:rPr>
          <w:color w:val="000000" w:themeColor="text1"/>
          <w:lang w:val="en-US"/>
        </w:rPr>
        <w:t>Kotwal S, Kawaguchi S, Lebl D, Hughes A, Huang R, Sama A, et al. Invasive Lateral Lumbar Interbody Fusion Clinical and Radiographic Outcome at a Minimum 2-year Follow-up. J Spinal Disord Tech. 2015;28(4):119–25.</w:t>
      </w:r>
    </w:p>
    <w:p w:rsidR="00E01347" w:rsidRPr="000853F7" w:rsidRDefault="00E01347" w:rsidP="00773F59">
      <w:pPr>
        <w:widowControl w:val="0"/>
        <w:numPr>
          <w:ilvl w:val="0"/>
          <w:numId w:val="1"/>
        </w:numPr>
        <w:tabs>
          <w:tab w:val="left" w:pos="220"/>
        </w:tabs>
        <w:spacing w:after="186" w:line="480" w:lineRule="auto"/>
        <w:ind w:left="0" w:firstLine="0"/>
        <w:jc w:val="both"/>
        <w:rPr>
          <w:color w:val="000000" w:themeColor="text1"/>
        </w:rPr>
      </w:pPr>
      <w:r w:rsidRPr="000853F7">
        <w:rPr>
          <w:color w:val="000000" w:themeColor="text1"/>
        </w:rPr>
        <w:t>AmaralR, FerreiraR, Marchi L, JensenR, Nogueira-Neto J, Pimenta L.Artrodese lombar intersomática anterior por via única - Complicações e resultados perioperatórios. Rev</w:t>
      </w:r>
      <w:r w:rsidR="00F61D7E" w:rsidRPr="000853F7">
        <w:rPr>
          <w:color w:val="000000" w:themeColor="text1"/>
        </w:rPr>
        <w:t>.b</w:t>
      </w:r>
      <w:r w:rsidRPr="000853F7">
        <w:rPr>
          <w:color w:val="000000" w:themeColor="text1"/>
        </w:rPr>
        <w:t>ras</w:t>
      </w:r>
      <w:r w:rsidR="00F61D7E" w:rsidRPr="000853F7">
        <w:rPr>
          <w:color w:val="000000" w:themeColor="text1"/>
        </w:rPr>
        <w:t>.ortop.</w:t>
      </w:r>
      <w:r w:rsidR="000853F7" w:rsidRPr="000853F7">
        <w:rPr>
          <w:color w:val="000000" w:themeColor="text1"/>
        </w:rPr>
        <w:t xml:space="preserve"> 2017;</w:t>
      </w:r>
      <w:r w:rsidRPr="000853F7">
        <w:rPr>
          <w:color w:val="000000" w:themeColor="text1"/>
        </w:rPr>
        <w:t xml:space="preserve"> 52(5)</w:t>
      </w:r>
      <w:r w:rsidR="000853F7" w:rsidRPr="000853F7">
        <w:rPr>
          <w:color w:val="000000" w:themeColor="text1"/>
        </w:rPr>
        <w:t xml:space="preserve">: </w:t>
      </w:r>
      <w:r w:rsidRPr="000853F7">
        <w:rPr>
          <w:color w:val="000000" w:themeColor="text1"/>
        </w:rPr>
        <w:t>569-574.</w:t>
      </w:r>
    </w:p>
    <w:p w:rsidR="00E01347" w:rsidRPr="00773F59" w:rsidRDefault="00E01347" w:rsidP="00773F59">
      <w:pPr>
        <w:widowControl w:val="0"/>
        <w:numPr>
          <w:ilvl w:val="0"/>
          <w:numId w:val="1"/>
        </w:numPr>
        <w:tabs>
          <w:tab w:val="left" w:pos="220"/>
        </w:tabs>
        <w:spacing w:after="186" w:line="480" w:lineRule="auto"/>
        <w:ind w:left="0" w:firstLine="0"/>
        <w:jc w:val="both"/>
        <w:rPr>
          <w:color w:val="000000" w:themeColor="text1"/>
          <w:lang w:val="en-US"/>
        </w:rPr>
      </w:pPr>
      <w:r w:rsidRPr="00773F59">
        <w:rPr>
          <w:color w:val="000000" w:themeColor="text1"/>
          <w:lang w:val="en-US"/>
        </w:rPr>
        <w:t>Lastfogel JF, Altstadt TJ, Rodgers RB, Horn EM. Sacral fractures following stand-alone L5-S1 anterior lumbar interbody fusion for isthmic spondylolisthesis. J Neurosurg Spine. 2010;13(2):288–93.</w:t>
      </w:r>
    </w:p>
    <w:sectPr w:rsidR="00E01347" w:rsidRPr="00773F59" w:rsidSect="00D42202">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BE" w:rsidRDefault="006D12BE" w:rsidP="00B12AFD">
      <w:r>
        <w:separator/>
      </w:r>
    </w:p>
  </w:endnote>
  <w:endnote w:type="continuationSeparator" w:id="1">
    <w:p w:rsidR="006D12BE" w:rsidRDefault="006D12BE" w:rsidP="00B12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BE" w:rsidRDefault="006D12BE" w:rsidP="00B12AFD">
      <w:r>
        <w:separator/>
      </w:r>
    </w:p>
  </w:footnote>
  <w:footnote w:type="continuationSeparator" w:id="1">
    <w:p w:rsidR="006D12BE" w:rsidRDefault="006D12BE" w:rsidP="00B12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26ADE30"/>
    <w:lvl w:ilvl="0">
      <w:start w:val="1"/>
      <w:numFmt w:val="bullet"/>
      <w:lvlText w:val=""/>
      <w:lvlJc w:val="left"/>
      <w:pPr>
        <w:tabs>
          <w:tab w:val="num" w:pos="643"/>
        </w:tabs>
        <w:ind w:left="643" w:hanging="360"/>
      </w:pPr>
      <w:rPr>
        <w:rFonts w:ascii="Symbol" w:hAnsi="Symbol" w:hint="default"/>
      </w:rPr>
    </w:lvl>
  </w:abstractNum>
  <w:abstractNum w:abstractNumId="1">
    <w:nsid w:val="03004F86"/>
    <w:multiLevelType w:val="multilevel"/>
    <w:tmpl w:val="6F70858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8CC28F1"/>
    <w:multiLevelType w:val="hybridMultilevel"/>
    <w:tmpl w:val="C93A3350"/>
    <w:lvl w:ilvl="0" w:tplc="E53E3FF6">
      <w:start w:val="1"/>
      <w:numFmt w:val="bullet"/>
      <w:lvlText w:val="•"/>
      <w:lvlJc w:val="left"/>
      <w:pPr>
        <w:tabs>
          <w:tab w:val="num" w:pos="720"/>
        </w:tabs>
        <w:ind w:left="720" w:hanging="360"/>
      </w:pPr>
      <w:rPr>
        <w:rFonts w:ascii="Arial" w:hAnsi="Arial" w:hint="default"/>
      </w:rPr>
    </w:lvl>
    <w:lvl w:ilvl="1" w:tplc="1E923114" w:tentative="1">
      <w:start w:val="1"/>
      <w:numFmt w:val="bullet"/>
      <w:lvlText w:val="•"/>
      <w:lvlJc w:val="left"/>
      <w:pPr>
        <w:tabs>
          <w:tab w:val="num" w:pos="1440"/>
        </w:tabs>
        <w:ind w:left="1440" w:hanging="360"/>
      </w:pPr>
      <w:rPr>
        <w:rFonts w:ascii="Arial" w:hAnsi="Arial" w:hint="default"/>
      </w:rPr>
    </w:lvl>
    <w:lvl w:ilvl="2" w:tplc="4836D596" w:tentative="1">
      <w:start w:val="1"/>
      <w:numFmt w:val="bullet"/>
      <w:lvlText w:val="•"/>
      <w:lvlJc w:val="left"/>
      <w:pPr>
        <w:tabs>
          <w:tab w:val="num" w:pos="2160"/>
        </w:tabs>
        <w:ind w:left="2160" w:hanging="360"/>
      </w:pPr>
      <w:rPr>
        <w:rFonts w:ascii="Arial" w:hAnsi="Arial" w:hint="default"/>
      </w:rPr>
    </w:lvl>
    <w:lvl w:ilvl="3" w:tplc="9C4CA02A" w:tentative="1">
      <w:start w:val="1"/>
      <w:numFmt w:val="bullet"/>
      <w:lvlText w:val="•"/>
      <w:lvlJc w:val="left"/>
      <w:pPr>
        <w:tabs>
          <w:tab w:val="num" w:pos="2880"/>
        </w:tabs>
        <w:ind w:left="2880" w:hanging="360"/>
      </w:pPr>
      <w:rPr>
        <w:rFonts w:ascii="Arial" w:hAnsi="Arial" w:hint="default"/>
      </w:rPr>
    </w:lvl>
    <w:lvl w:ilvl="4" w:tplc="DB76F8D6" w:tentative="1">
      <w:start w:val="1"/>
      <w:numFmt w:val="bullet"/>
      <w:lvlText w:val="•"/>
      <w:lvlJc w:val="left"/>
      <w:pPr>
        <w:tabs>
          <w:tab w:val="num" w:pos="3600"/>
        </w:tabs>
        <w:ind w:left="3600" w:hanging="360"/>
      </w:pPr>
      <w:rPr>
        <w:rFonts w:ascii="Arial" w:hAnsi="Arial" w:hint="default"/>
      </w:rPr>
    </w:lvl>
    <w:lvl w:ilvl="5" w:tplc="AE384B02" w:tentative="1">
      <w:start w:val="1"/>
      <w:numFmt w:val="bullet"/>
      <w:lvlText w:val="•"/>
      <w:lvlJc w:val="left"/>
      <w:pPr>
        <w:tabs>
          <w:tab w:val="num" w:pos="4320"/>
        </w:tabs>
        <w:ind w:left="4320" w:hanging="360"/>
      </w:pPr>
      <w:rPr>
        <w:rFonts w:ascii="Arial" w:hAnsi="Arial" w:hint="default"/>
      </w:rPr>
    </w:lvl>
    <w:lvl w:ilvl="6" w:tplc="087CCEAC" w:tentative="1">
      <w:start w:val="1"/>
      <w:numFmt w:val="bullet"/>
      <w:lvlText w:val="•"/>
      <w:lvlJc w:val="left"/>
      <w:pPr>
        <w:tabs>
          <w:tab w:val="num" w:pos="5040"/>
        </w:tabs>
        <w:ind w:left="5040" w:hanging="360"/>
      </w:pPr>
      <w:rPr>
        <w:rFonts w:ascii="Arial" w:hAnsi="Arial" w:hint="default"/>
      </w:rPr>
    </w:lvl>
    <w:lvl w:ilvl="7" w:tplc="43209DBE" w:tentative="1">
      <w:start w:val="1"/>
      <w:numFmt w:val="bullet"/>
      <w:lvlText w:val="•"/>
      <w:lvlJc w:val="left"/>
      <w:pPr>
        <w:tabs>
          <w:tab w:val="num" w:pos="5760"/>
        </w:tabs>
        <w:ind w:left="5760" w:hanging="360"/>
      </w:pPr>
      <w:rPr>
        <w:rFonts w:ascii="Arial" w:hAnsi="Arial" w:hint="default"/>
      </w:rPr>
    </w:lvl>
    <w:lvl w:ilvl="8" w:tplc="15EE9958" w:tentative="1">
      <w:start w:val="1"/>
      <w:numFmt w:val="bullet"/>
      <w:lvlText w:val="•"/>
      <w:lvlJc w:val="left"/>
      <w:pPr>
        <w:tabs>
          <w:tab w:val="num" w:pos="6480"/>
        </w:tabs>
        <w:ind w:left="6480" w:hanging="360"/>
      </w:pPr>
      <w:rPr>
        <w:rFonts w:ascii="Arial" w:hAnsi="Arial" w:hint="default"/>
      </w:rPr>
    </w:lvl>
  </w:abstractNum>
  <w:abstractNum w:abstractNumId="3">
    <w:nsid w:val="0EB57540"/>
    <w:multiLevelType w:val="hybridMultilevel"/>
    <w:tmpl w:val="D44862F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885E22"/>
    <w:multiLevelType w:val="hybridMultilevel"/>
    <w:tmpl w:val="4DB0C7CA"/>
    <w:lvl w:ilvl="0" w:tplc="E072FECA">
      <w:start w:val="1"/>
      <w:numFmt w:val="lowerLetter"/>
      <w:pStyle w:val="Alnea"/>
      <w:lvlText w:val="%1)"/>
      <w:lvlJc w:val="left"/>
      <w:pPr>
        <w:ind w:left="1429" w:hanging="360"/>
      </w:pPr>
    </w:lvl>
    <w:lvl w:ilvl="1" w:tplc="EB1AFCE8">
      <w:start w:val="1"/>
      <w:numFmt w:val="bullet"/>
      <w:lvlText w:val="-"/>
      <w:lvlJc w:val="left"/>
      <w:pPr>
        <w:ind w:left="1778" w:hanging="360"/>
      </w:pPr>
      <w:rPr>
        <w:rFonts w:ascii="Arial" w:hAnsi="Aria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1A531F94"/>
    <w:multiLevelType w:val="hybridMultilevel"/>
    <w:tmpl w:val="6216503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9339D"/>
    <w:multiLevelType w:val="multilevel"/>
    <w:tmpl w:val="E202244A"/>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574F3D82"/>
    <w:multiLevelType w:val="hybridMultilevel"/>
    <w:tmpl w:val="E2E62412"/>
    <w:lvl w:ilvl="0" w:tplc="0416000F">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5C9213F"/>
    <w:multiLevelType w:val="hybridMultilevel"/>
    <w:tmpl w:val="14BE3B3C"/>
    <w:lvl w:ilvl="0" w:tplc="8C8E9E5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6745188B"/>
    <w:multiLevelType w:val="multilevel"/>
    <w:tmpl w:val="6ADCD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AA5C03"/>
    <w:multiLevelType w:val="hybridMultilevel"/>
    <w:tmpl w:val="F3A0D308"/>
    <w:lvl w:ilvl="0" w:tplc="7FD6B1EA">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CC6B3E"/>
    <w:multiLevelType w:val="hybridMultilevel"/>
    <w:tmpl w:val="670CADA8"/>
    <w:lvl w:ilvl="0" w:tplc="75BE6E84">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3"/>
  </w:num>
  <w:num w:numId="5">
    <w:abstractNumId w:val="2"/>
  </w:num>
  <w:num w:numId="6">
    <w:abstractNumId w:val="10"/>
  </w:num>
  <w:num w:numId="7">
    <w:abstractNumId w:val="11"/>
  </w:num>
  <w:num w:numId="8">
    <w:abstractNumId w:val="7"/>
  </w:num>
  <w:num w:numId="9">
    <w:abstractNumId w:val="6"/>
  </w:num>
  <w:num w:numId="10">
    <w:abstractNumId w:val="4"/>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7F7B33"/>
    <w:rsid w:val="00000643"/>
    <w:rsid w:val="000165A4"/>
    <w:rsid w:val="00022906"/>
    <w:rsid w:val="00027B1D"/>
    <w:rsid w:val="000335DF"/>
    <w:rsid w:val="000378B5"/>
    <w:rsid w:val="000572E9"/>
    <w:rsid w:val="00072061"/>
    <w:rsid w:val="00075BF7"/>
    <w:rsid w:val="00076880"/>
    <w:rsid w:val="000853F7"/>
    <w:rsid w:val="000A1737"/>
    <w:rsid w:val="000A202D"/>
    <w:rsid w:val="000A6EFF"/>
    <w:rsid w:val="000B0FA1"/>
    <w:rsid w:val="000B1876"/>
    <w:rsid w:val="000B7D0E"/>
    <w:rsid w:val="000E109D"/>
    <w:rsid w:val="000F6F88"/>
    <w:rsid w:val="00101DA8"/>
    <w:rsid w:val="00105F46"/>
    <w:rsid w:val="00117B7A"/>
    <w:rsid w:val="001211F2"/>
    <w:rsid w:val="00122E94"/>
    <w:rsid w:val="0012347F"/>
    <w:rsid w:val="00151D36"/>
    <w:rsid w:val="00157A89"/>
    <w:rsid w:val="00166016"/>
    <w:rsid w:val="001671E0"/>
    <w:rsid w:val="00171506"/>
    <w:rsid w:val="001750D8"/>
    <w:rsid w:val="001852BC"/>
    <w:rsid w:val="00186DDA"/>
    <w:rsid w:val="00192ACD"/>
    <w:rsid w:val="00195729"/>
    <w:rsid w:val="0019719D"/>
    <w:rsid w:val="001A47B0"/>
    <w:rsid w:val="001B7017"/>
    <w:rsid w:val="001B71A6"/>
    <w:rsid w:val="001C5118"/>
    <w:rsid w:val="001C5DCE"/>
    <w:rsid w:val="001E165F"/>
    <w:rsid w:val="001F44CF"/>
    <w:rsid w:val="00202A2C"/>
    <w:rsid w:val="00222969"/>
    <w:rsid w:val="00232900"/>
    <w:rsid w:val="00234432"/>
    <w:rsid w:val="00236A4E"/>
    <w:rsid w:val="00241255"/>
    <w:rsid w:val="00266CB0"/>
    <w:rsid w:val="00270A48"/>
    <w:rsid w:val="00275468"/>
    <w:rsid w:val="00282AD4"/>
    <w:rsid w:val="002A2DDE"/>
    <w:rsid w:val="002B4909"/>
    <w:rsid w:val="002B6545"/>
    <w:rsid w:val="002C1F55"/>
    <w:rsid w:val="002D2074"/>
    <w:rsid w:val="002F3197"/>
    <w:rsid w:val="002F48C2"/>
    <w:rsid w:val="00306EB4"/>
    <w:rsid w:val="00322E53"/>
    <w:rsid w:val="00340FA1"/>
    <w:rsid w:val="003570ED"/>
    <w:rsid w:val="003610DF"/>
    <w:rsid w:val="00364174"/>
    <w:rsid w:val="003764B5"/>
    <w:rsid w:val="00380678"/>
    <w:rsid w:val="00381EAE"/>
    <w:rsid w:val="00391C73"/>
    <w:rsid w:val="003C47DA"/>
    <w:rsid w:val="003D4965"/>
    <w:rsid w:val="003F5C50"/>
    <w:rsid w:val="003F66CB"/>
    <w:rsid w:val="003F6721"/>
    <w:rsid w:val="00401DF3"/>
    <w:rsid w:val="00406475"/>
    <w:rsid w:val="0040647A"/>
    <w:rsid w:val="004177F5"/>
    <w:rsid w:val="00421C2D"/>
    <w:rsid w:val="0042690D"/>
    <w:rsid w:val="00426BA5"/>
    <w:rsid w:val="004345B7"/>
    <w:rsid w:val="00434F76"/>
    <w:rsid w:val="00444752"/>
    <w:rsid w:val="00450242"/>
    <w:rsid w:val="00473E08"/>
    <w:rsid w:val="00481EBC"/>
    <w:rsid w:val="00483C71"/>
    <w:rsid w:val="00486C04"/>
    <w:rsid w:val="00495E0F"/>
    <w:rsid w:val="004A4FD8"/>
    <w:rsid w:val="004A69BA"/>
    <w:rsid w:val="004A74B1"/>
    <w:rsid w:val="004B3749"/>
    <w:rsid w:val="004C6BAE"/>
    <w:rsid w:val="004E48A8"/>
    <w:rsid w:val="004E773D"/>
    <w:rsid w:val="00500C89"/>
    <w:rsid w:val="005070D7"/>
    <w:rsid w:val="005152B0"/>
    <w:rsid w:val="0054200D"/>
    <w:rsid w:val="0054575D"/>
    <w:rsid w:val="00564D79"/>
    <w:rsid w:val="00570A07"/>
    <w:rsid w:val="005907AD"/>
    <w:rsid w:val="0059701D"/>
    <w:rsid w:val="00597D38"/>
    <w:rsid w:val="005A3DC9"/>
    <w:rsid w:val="005B0953"/>
    <w:rsid w:val="005C7B4B"/>
    <w:rsid w:val="005D7D33"/>
    <w:rsid w:val="005E1DE1"/>
    <w:rsid w:val="005E2F84"/>
    <w:rsid w:val="006126FA"/>
    <w:rsid w:val="006136D4"/>
    <w:rsid w:val="006153E5"/>
    <w:rsid w:val="00622E48"/>
    <w:rsid w:val="00634D59"/>
    <w:rsid w:val="00646934"/>
    <w:rsid w:val="00653D4C"/>
    <w:rsid w:val="00654325"/>
    <w:rsid w:val="00655A29"/>
    <w:rsid w:val="00655B52"/>
    <w:rsid w:val="00656EB3"/>
    <w:rsid w:val="00663C2D"/>
    <w:rsid w:val="00670774"/>
    <w:rsid w:val="0067140D"/>
    <w:rsid w:val="00671947"/>
    <w:rsid w:val="00674574"/>
    <w:rsid w:val="00674F3B"/>
    <w:rsid w:val="006843E4"/>
    <w:rsid w:val="006861AA"/>
    <w:rsid w:val="006A02DA"/>
    <w:rsid w:val="006A5763"/>
    <w:rsid w:val="006A60ED"/>
    <w:rsid w:val="006B3116"/>
    <w:rsid w:val="006C2DE5"/>
    <w:rsid w:val="006C5CB8"/>
    <w:rsid w:val="006C5FB9"/>
    <w:rsid w:val="006C66F1"/>
    <w:rsid w:val="006D12BE"/>
    <w:rsid w:val="006D46B2"/>
    <w:rsid w:val="006E228F"/>
    <w:rsid w:val="006E4142"/>
    <w:rsid w:val="006F3149"/>
    <w:rsid w:val="006F5E09"/>
    <w:rsid w:val="007067EA"/>
    <w:rsid w:val="00710434"/>
    <w:rsid w:val="007266C9"/>
    <w:rsid w:val="00732020"/>
    <w:rsid w:val="0074102E"/>
    <w:rsid w:val="00773F59"/>
    <w:rsid w:val="00784E2C"/>
    <w:rsid w:val="00786C92"/>
    <w:rsid w:val="00796380"/>
    <w:rsid w:val="0079778A"/>
    <w:rsid w:val="00797A0A"/>
    <w:rsid w:val="007A245D"/>
    <w:rsid w:val="007B33ED"/>
    <w:rsid w:val="007B5D8C"/>
    <w:rsid w:val="007C2D9A"/>
    <w:rsid w:val="007D0727"/>
    <w:rsid w:val="007D5FEA"/>
    <w:rsid w:val="007E7D11"/>
    <w:rsid w:val="007F7B33"/>
    <w:rsid w:val="00820699"/>
    <w:rsid w:val="00846AAC"/>
    <w:rsid w:val="00851EFC"/>
    <w:rsid w:val="008540DF"/>
    <w:rsid w:val="0086200F"/>
    <w:rsid w:val="008672C0"/>
    <w:rsid w:val="00871480"/>
    <w:rsid w:val="00872430"/>
    <w:rsid w:val="00875823"/>
    <w:rsid w:val="00877EF5"/>
    <w:rsid w:val="00895FB0"/>
    <w:rsid w:val="00896157"/>
    <w:rsid w:val="008A6210"/>
    <w:rsid w:val="008B11A0"/>
    <w:rsid w:val="008B382D"/>
    <w:rsid w:val="008C5495"/>
    <w:rsid w:val="008C65F6"/>
    <w:rsid w:val="008D1CF7"/>
    <w:rsid w:val="008D28C6"/>
    <w:rsid w:val="008D4DB9"/>
    <w:rsid w:val="008E0375"/>
    <w:rsid w:val="008E5D74"/>
    <w:rsid w:val="008F3B4D"/>
    <w:rsid w:val="008F4EFE"/>
    <w:rsid w:val="008F542F"/>
    <w:rsid w:val="008F7420"/>
    <w:rsid w:val="008F7A5D"/>
    <w:rsid w:val="008F7D03"/>
    <w:rsid w:val="00910E3D"/>
    <w:rsid w:val="00910EBB"/>
    <w:rsid w:val="00927DBC"/>
    <w:rsid w:val="0093419A"/>
    <w:rsid w:val="009627B8"/>
    <w:rsid w:val="00963CB0"/>
    <w:rsid w:val="009736DE"/>
    <w:rsid w:val="00974FE6"/>
    <w:rsid w:val="00996A2F"/>
    <w:rsid w:val="009A1996"/>
    <w:rsid w:val="009A4B45"/>
    <w:rsid w:val="009A6712"/>
    <w:rsid w:val="009C1B45"/>
    <w:rsid w:val="009C31C7"/>
    <w:rsid w:val="009C3D06"/>
    <w:rsid w:val="009D5508"/>
    <w:rsid w:val="009E4A59"/>
    <w:rsid w:val="009F47E3"/>
    <w:rsid w:val="00A1609D"/>
    <w:rsid w:val="00A174F8"/>
    <w:rsid w:val="00A40EC7"/>
    <w:rsid w:val="00A55E37"/>
    <w:rsid w:val="00A55F68"/>
    <w:rsid w:val="00A61550"/>
    <w:rsid w:val="00A63B6A"/>
    <w:rsid w:val="00A64419"/>
    <w:rsid w:val="00A6485C"/>
    <w:rsid w:val="00A73EB0"/>
    <w:rsid w:val="00AB389E"/>
    <w:rsid w:val="00AB76EC"/>
    <w:rsid w:val="00AC64F2"/>
    <w:rsid w:val="00AC6C31"/>
    <w:rsid w:val="00AD59BE"/>
    <w:rsid w:val="00AD5CB5"/>
    <w:rsid w:val="00AE21F0"/>
    <w:rsid w:val="00AF753D"/>
    <w:rsid w:val="00AF7CA7"/>
    <w:rsid w:val="00B02986"/>
    <w:rsid w:val="00B0560A"/>
    <w:rsid w:val="00B12AFD"/>
    <w:rsid w:val="00B43C2D"/>
    <w:rsid w:val="00B5052E"/>
    <w:rsid w:val="00B5333D"/>
    <w:rsid w:val="00B5546F"/>
    <w:rsid w:val="00B66CD6"/>
    <w:rsid w:val="00B766B2"/>
    <w:rsid w:val="00B7792B"/>
    <w:rsid w:val="00B83F3E"/>
    <w:rsid w:val="00B9004C"/>
    <w:rsid w:val="00B91BB8"/>
    <w:rsid w:val="00B926C3"/>
    <w:rsid w:val="00BA1E20"/>
    <w:rsid w:val="00BA2FF5"/>
    <w:rsid w:val="00BA3CE5"/>
    <w:rsid w:val="00BB128E"/>
    <w:rsid w:val="00BB21EE"/>
    <w:rsid w:val="00BC3397"/>
    <w:rsid w:val="00BC4688"/>
    <w:rsid w:val="00BC49B7"/>
    <w:rsid w:val="00BC4A72"/>
    <w:rsid w:val="00BC5724"/>
    <w:rsid w:val="00BE6451"/>
    <w:rsid w:val="00C02BC3"/>
    <w:rsid w:val="00C0395E"/>
    <w:rsid w:val="00C1568B"/>
    <w:rsid w:val="00C34367"/>
    <w:rsid w:val="00C35611"/>
    <w:rsid w:val="00C35D21"/>
    <w:rsid w:val="00C416CE"/>
    <w:rsid w:val="00C41D30"/>
    <w:rsid w:val="00C44BF9"/>
    <w:rsid w:val="00C66859"/>
    <w:rsid w:val="00C705E2"/>
    <w:rsid w:val="00C70B3F"/>
    <w:rsid w:val="00C741F5"/>
    <w:rsid w:val="00C764CA"/>
    <w:rsid w:val="00C774CF"/>
    <w:rsid w:val="00C8338B"/>
    <w:rsid w:val="00C9760C"/>
    <w:rsid w:val="00C97BB4"/>
    <w:rsid w:val="00CA5044"/>
    <w:rsid w:val="00CB3470"/>
    <w:rsid w:val="00CD36F2"/>
    <w:rsid w:val="00CE2B81"/>
    <w:rsid w:val="00CE5DA5"/>
    <w:rsid w:val="00CF10C7"/>
    <w:rsid w:val="00CF16BB"/>
    <w:rsid w:val="00CF4ED4"/>
    <w:rsid w:val="00D01092"/>
    <w:rsid w:val="00D12A4C"/>
    <w:rsid w:val="00D21669"/>
    <w:rsid w:val="00D235A6"/>
    <w:rsid w:val="00D365F5"/>
    <w:rsid w:val="00D37C27"/>
    <w:rsid w:val="00D42202"/>
    <w:rsid w:val="00D4751B"/>
    <w:rsid w:val="00D515D5"/>
    <w:rsid w:val="00D64C25"/>
    <w:rsid w:val="00D67E7A"/>
    <w:rsid w:val="00D777A1"/>
    <w:rsid w:val="00D85E06"/>
    <w:rsid w:val="00D955F6"/>
    <w:rsid w:val="00DA681B"/>
    <w:rsid w:val="00DB4D6B"/>
    <w:rsid w:val="00DB7465"/>
    <w:rsid w:val="00DC6537"/>
    <w:rsid w:val="00DC6E76"/>
    <w:rsid w:val="00DD4504"/>
    <w:rsid w:val="00DD775C"/>
    <w:rsid w:val="00E002FD"/>
    <w:rsid w:val="00E01347"/>
    <w:rsid w:val="00E025D5"/>
    <w:rsid w:val="00E07DB7"/>
    <w:rsid w:val="00E108E5"/>
    <w:rsid w:val="00E17BFD"/>
    <w:rsid w:val="00E201F3"/>
    <w:rsid w:val="00E32839"/>
    <w:rsid w:val="00E41407"/>
    <w:rsid w:val="00E514F9"/>
    <w:rsid w:val="00E55549"/>
    <w:rsid w:val="00E71083"/>
    <w:rsid w:val="00E75908"/>
    <w:rsid w:val="00E83296"/>
    <w:rsid w:val="00E86F5D"/>
    <w:rsid w:val="00E9387D"/>
    <w:rsid w:val="00EB634A"/>
    <w:rsid w:val="00ED0EB7"/>
    <w:rsid w:val="00ED3203"/>
    <w:rsid w:val="00ED3793"/>
    <w:rsid w:val="00EE324E"/>
    <w:rsid w:val="00F03DE5"/>
    <w:rsid w:val="00F05F0A"/>
    <w:rsid w:val="00F07DBE"/>
    <w:rsid w:val="00F1312B"/>
    <w:rsid w:val="00F24990"/>
    <w:rsid w:val="00F35D0B"/>
    <w:rsid w:val="00F40496"/>
    <w:rsid w:val="00F513D1"/>
    <w:rsid w:val="00F6143F"/>
    <w:rsid w:val="00F61D7E"/>
    <w:rsid w:val="00F7230C"/>
    <w:rsid w:val="00F766EF"/>
    <w:rsid w:val="00FA0563"/>
    <w:rsid w:val="00FA05E0"/>
    <w:rsid w:val="00FA3ABF"/>
    <w:rsid w:val="00FA4A94"/>
    <w:rsid w:val="00FA5B5B"/>
    <w:rsid w:val="00FB10A5"/>
    <w:rsid w:val="00FB783A"/>
    <w:rsid w:val="00FE0D5A"/>
    <w:rsid w:val="00FF64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2D"/>
    <w:rPr>
      <w:rFonts w:ascii="Times New Roman" w:eastAsia="Times New Roman" w:hAnsi="Times New Roman" w:cs="Times New Roman"/>
      <w:lang w:eastAsia="pt-BR"/>
    </w:rPr>
  </w:style>
  <w:style w:type="paragraph" w:styleId="Ttulo1">
    <w:name w:val="heading 1"/>
    <w:basedOn w:val="Normal"/>
    <w:next w:val="Texto"/>
    <w:link w:val="Ttulo1Char"/>
    <w:uiPriority w:val="9"/>
    <w:qFormat/>
    <w:rsid w:val="00974FE6"/>
    <w:pPr>
      <w:keepNext/>
      <w:keepLines/>
      <w:numPr>
        <w:numId w:val="9"/>
      </w:numPr>
      <w:spacing w:after="300"/>
      <w:outlineLvl w:val="0"/>
    </w:pPr>
    <w:rPr>
      <w:b/>
      <w:bCs/>
      <w:caps/>
      <w:szCs w:val="28"/>
    </w:rPr>
  </w:style>
  <w:style w:type="paragraph" w:styleId="Ttulo2">
    <w:name w:val="heading 2"/>
    <w:basedOn w:val="Normal"/>
    <w:next w:val="Texto"/>
    <w:link w:val="Ttulo2Char"/>
    <w:autoRedefine/>
    <w:uiPriority w:val="9"/>
    <w:qFormat/>
    <w:rsid w:val="00CA5044"/>
    <w:pPr>
      <w:keepNext/>
      <w:keepLines/>
      <w:spacing w:before="300" w:after="300" w:line="360" w:lineRule="auto"/>
      <w:ind w:left="397" w:hanging="397"/>
      <w:jc w:val="both"/>
      <w:outlineLvl w:val="1"/>
    </w:pPr>
    <w:rPr>
      <w:rFonts w:ascii="Arial" w:hAnsi="Arial" w:cs="Arial"/>
      <w:b/>
      <w:szCs w:val="26"/>
    </w:rPr>
  </w:style>
  <w:style w:type="paragraph" w:styleId="Ttulo3">
    <w:name w:val="heading 3"/>
    <w:basedOn w:val="Normal"/>
    <w:next w:val="Texto"/>
    <w:link w:val="Ttulo3Char"/>
    <w:autoRedefine/>
    <w:uiPriority w:val="9"/>
    <w:qFormat/>
    <w:rsid w:val="00974FE6"/>
    <w:pPr>
      <w:keepNext/>
      <w:keepLines/>
      <w:numPr>
        <w:ilvl w:val="2"/>
        <w:numId w:val="9"/>
      </w:numPr>
      <w:spacing w:before="300" w:after="300"/>
      <w:ind w:left="567" w:hanging="567"/>
      <w:outlineLvl w:val="2"/>
    </w:pPr>
    <w:rPr>
      <w:bCs/>
    </w:rPr>
  </w:style>
  <w:style w:type="paragraph" w:styleId="Ttulo4">
    <w:name w:val="heading 4"/>
    <w:basedOn w:val="Normal"/>
    <w:next w:val="Texto"/>
    <w:link w:val="Ttulo4Char"/>
    <w:uiPriority w:val="9"/>
    <w:qFormat/>
    <w:rsid w:val="00974FE6"/>
    <w:pPr>
      <w:keepNext/>
      <w:keepLines/>
      <w:numPr>
        <w:ilvl w:val="3"/>
        <w:numId w:val="9"/>
      </w:numPr>
      <w:spacing w:before="300" w:after="300"/>
      <w:ind w:left="851" w:hanging="851"/>
      <w:outlineLvl w:val="3"/>
    </w:pPr>
    <w:rPr>
      <w:bCs/>
      <w:iCs/>
    </w:rPr>
  </w:style>
  <w:style w:type="paragraph" w:styleId="Ttulo6">
    <w:name w:val="heading 6"/>
    <w:basedOn w:val="Normal"/>
    <w:next w:val="Normal"/>
    <w:link w:val="Ttulo6Char"/>
    <w:uiPriority w:val="9"/>
    <w:qFormat/>
    <w:rsid w:val="00974FE6"/>
    <w:pPr>
      <w:keepNext/>
      <w:keepLines/>
      <w:numPr>
        <w:ilvl w:val="5"/>
        <w:numId w:val="9"/>
      </w:numPr>
      <w:spacing w:before="200"/>
      <w:outlineLvl w:val="5"/>
    </w:pPr>
    <w:rPr>
      <w:rFonts w:ascii="Cambria" w:hAnsi="Cambria"/>
      <w:i/>
      <w:iCs/>
      <w:color w:val="243F60"/>
      <w:szCs w:val="20"/>
    </w:rPr>
  </w:style>
  <w:style w:type="paragraph" w:styleId="Ttulo7">
    <w:name w:val="heading 7"/>
    <w:basedOn w:val="Normal"/>
    <w:next w:val="Normal"/>
    <w:link w:val="Ttulo7Char"/>
    <w:uiPriority w:val="9"/>
    <w:qFormat/>
    <w:rsid w:val="00974FE6"/>
    <w:pPr>
      <w:keepNext/>
      <w:keepLines/>
      <w:numPr>
        <w:ilvl w:val="6"/>
        <w:numId w:val="9"/>
      </w:numPr>
      <w:spacing w:before="200"/>
      <w:outlineLvl w:val="6"/>
    </w:pPr>
    <w:rPr>
      <w:rFonts w:ascii="Cambria" w:hAnsi="Cambria"/>
      <w:i/>
      <w:iCs/>
      <w:color w:val="404040"/>
      <w:szCs w:val="20"/>
    </w:rPr>
  </w:style>
  <w:style w:type="paragraph" w:styleId="Ttulo8">
    <w:name w:val="heading 8"/>
    <w:basedOn w:val="Normal"/>
    <w:next w:val="Normal"/>
    <w:link w:val="Ttulo8Char"/>
    <w:uiPriority w:val="9"/>
    <w:qFormat/>
    <w:rsid w:val="00974FE6"/>
    <w:pPr>
      <w:keepNext/>
      <w:keepLines/>
      <w:numPr>
        <w:ilvl w:val="7"/>
        <w:numId w:val="9"/>
      </w:numPr>
      <w:spacing w:before="200"/>
      <w:outlineLvl w:val="7"/>
    </w:pPr>
    <w:rPr>
      <w:rFonts w:ascii="Cambria" w:hAnsi="Cambria"/>
      <w:color w:val="404040"/>
      <w:sz w:val="20"/>
      <w:szCs w:val="20"/>
    </w:rPr>
  </w:style>
  <w:style w:type="paragraph" w:styleId="Ttulo9">
    <w:name w:val="heading 9"/>
    <w:basedOn w:val="Normal"/>
    <w:next w:val="Normal"/>
    <w:link w:val="Ttulo9Char"/>
    <w:uiPriority w:val="9"/>
    <w:qFormat/>
    <w:rsid w:val="00974FE6"/>
    <w:pPr>
      <w:keepNext/>
      <w:keepLines/>
      <w:numPr>
        <w:ilvl w:val="8"/>
        <w:numId w:val="9"/>
      </w:numPr>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B3749"/>
    <w:pPr>
      <w:spacing w:before="100" w:beforeAutospacing="1" w:after="100" w:afterAutospacing="1"/>
    </w:pPr>
  </w:style>
  <w:style w:type="table" w:customStyle="1" w:styleId="TabeladeLista4-nfase31">
    <w:name w:val="Tabela de Lista 4 - Ênfase 31"/>
    <w:basedOn w:val="Tabelanormal"/>
    <w:uiPriority w:val="49"/>
    <w:rsid w:val="003F5C5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7Colorida1">
    <w:name w:val="Tabela de Grade 7 Colorida1"/>
    <w:basedOn w:val="Tabelanormal"/>
    <w:uiPriority w:val="52"/>
    <w:rsid w:val="003F5C5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5Escura1">
    <w:name w:val="Tabela de Grade 5 Escura1"/>
    <w:basedOn w:val="Tabelanormal"/>
    <w:uiPriority w:val="50"/>
    <w:rsid w:val="003F5C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deGrade5Escura-nfase31">
    <w:name w:val="Tabela de Grade 5 Escura - Ênfase 31"/>
    <w:basedOn w:val="Tabelanormal"/>
    <w:uiPriority w:val="50"/>
    <w:rsid w:val="003F5C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deGrade4-nfase31">
    <w:name w:val="Tabela de Grade 4 - Ênfase 31"/>
    <w:basedOn w:val="Tabelanormal"/>
    <w:uiPriority w:val="49"/>
    <w:rsid w:val="003F5C5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B12AFD"/>
    <w:pPr>
      <w:tabs>
        <w:tab w:val="center" w:pos="4252"/>
        <w:tab w:val="right" w:pos="8504"/>
      </w:tabs>
    </w:pPr>
  </w:style>
  <w:style w:type="character" w:customStyle="1" w:styleId="CabealhoChar">
    <w:name w:val="Cabeçalho Char"/>
    <w:basedOn w:val="Fontepargpadro"/>
    <w:link w:val="Cabealho"/>
    <w:uiPriority w:val="99"/>
    <w:rsid w:val="00B12AFD"/>
    <w:rPr>
      <w:rFonts w:ascii="Times New Roman" w:eastAsia="Times New Roman" w:hAnsi="Times New Roman" w:cs="Times New Roman"/>
      <w:lang w:eastAsia="pt-BR"/>
    </w:rPr>
  </w:style>
  <w:style w:type="paragraph" w:styleId="Rodap">
    <w:name w:val="footer"/>
    <w:basedOn w:val="Normal"/>
    <w:link w:val="RodapChar"/>
    <w:uiPriority w:val="99"/>
    <w:unhideWhenUsed/>
    <w:rsid w:val="00B12AFD"/>
    <w:pPr>
      <w:tabs>
        <w:tab w:val="center" w:pos="4252"/>
        <w:tab w:val="right" w:pos="8504"/>
      </w:tabs>
    </w:pPr>
  </w:style>
  <w:style w:type="character" w:customStyle="1" w:styleId="RodapChar">
    <w:name w:val="Rodapé Char"/>
    <w:basedOn w:val="Fontepargpadro"/>
    <w:link w:val="Rodap"/>
    <w:uiPriority w:val="99"/>
    <w:rsid w:val="00B12AFD"/>
    <w:rPr>
      <w:rFonts w:ascii="Times New Roman" w:eastAsia="Times New Roman" w:hAnsi="Times New Roman" w:cs="Times New Roman"/>
      <w:lang w:eastAsia="pt-BR"/>
    </w:rPr>
  </w:style>
  <w:style w:type="table" w:styleId="Tabelacomgrade">
    <w:name w:val="Table Grid"/>
    <w:basedOn w:val="Tabelanormal"/>
    <w:uiPriority w:val="39"/>
    <w:unhideWhenUsed/>
    <w:rsid w:val="001A4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D5CB5"/>
    <w:pPr>
      <w:ind w:left="720"/>
      <w:contextualSpacing/>
    </w:pPr>
  </w:style>
  <w:style w:type="paragraph" w:styleId="Textodebalo">
    <w:name w:val="Balloon Text"/>
    <w:basedOn w:val="Normal"/>
    <w:link w:val="TextodebaloChar"/>
    <w:uiPriority w:val="99"/>
    <w:semiHidden/>
    <w:unhideWhenUsed/>
    <w:rsid w:val="00BA1E20"/>
    <w:rPr>
      <w:rFonts w:ascii="Tahoma" w:hAnsi="Tahoma" w:cs="Tahoma"/>
      <w:sz w:val="16"/>
      <w:szCs w:val="16"/>
    </w:rPr>
  </w:style>
  <w:style w:type="character" w:customStyle="1" w:styleId="TextodebaloChar">
    <w:name w:val="Texto de balão Char"/>
    <w:basedOn w:val="Fontepargpadro"/>
    <w:link w:val="Textodebalo"/>
    <w:uiPriority w:val="99"/>
    <w:semiHidden/>
    <w:rsid w:val="00BA1E20"/>
    <w:rPr>
      <w:rFonts w:ascii="Tahoma" w:eastAsia="Times New Roman" w:hAnsi="Tahoma" w:cs="Tahoma"/>
      <w:sz w:val="16"/>
      <w:szCs w:val="16"/>
      <w:lang w:eastAsia="pt-BR"/>
    </w:rPr>
  </w:style>
  <w:style w:type="paragraph" w:customStyle="1" w:styleId="Dedicatria-Epigrafe">
    <w:name w:val="Dedicatória-Epigrafe"/>
    <w:basedOn w:val="Normal"/>
    <w:qFormat/>
    <w:rsid w:val="00974FE6"/>
    <w:pPr>
      <w:ind w:left="4536"/>
      <w:jc w:val="right"/>
    </w:pPr>
  </w:style>
  <w:style w:type="paragraph" w:customStyle="1" w:styleId="TtuloPr-textual">
    <w:name w:val="Título Pré-textual"/>
    <w:basedOn w:val="Normal"/>
    <w:next w:val="Normal"/>
    <w:qFormat/>
    <w:rsid w:val="00974FE6"/>
    <w:pPr>
      <w:spacing w:after="300"/>
    </w:pPr>
    <w:rPr>
      <w:b/>
      <w:caps/>
    </w:rPr>
  </w:style>
  <w:style w:type="character" w:customStyle="1" w:styleId="Ttulo1Char">
    <w:name w:val="Título 1 Char"/>
    <w:basedOn w:val="Fontepargpadro"/>
    <w:link w:val="Ttulo1"/>
    <w:uiPriority w:val="9"/>
    <w:rsid w:val="00974FE6"/>
    <w:rPr>
      <w:rFonts w:ascii="Times New Roman" w:eastAsia="Times New Roman" w:hAnsi="Times New Roman" w:cs="Times New Roman"/>
      <w:b/>
      <w:bCs/>
      <w:caps/>
      <w:szCs w:val="28"/>
      <w:lang w:eastAsia="pt-BR"/>
    </w:rPr>
  </w:style>
  <w:style w:type="character" w:customStyle="1" w:styleId="Ttulo2Char">
    <w:name w:val="Título 2 Char"/>
    <w:basedOn w:val="Fontepargpadro"/>
    <w:link w:val="Ttulo2"/>
    <w:uiPriority w:val="9"/>
    <w:rsid w:val="00CA5044"/>
    <w:rPr>
      <w:rFonts w:ascii="Arial" w:eastAsia="Times New Roman" w:hAnsi="Arial" w:cs="Arial"/>
      <w:b/>
      <w:szCs w:val="26"/>
      <w:lang w:eastAsia="pt-BR"/>
    </w:rPr>
  </w:style>
  <w:style w:type="character" w:customStyle="1" w:styleId="Ttulo3Char">
    <w:name w:val="Título 3 Char"/>
    <w:basedOn w:val="Fontepargpadro"/>
    <w:link w:val="Ttulo3"/>
    <w:uiPriority w:val="9"/>
    <w:rsid w:val="00974FE6"/>
    <w:rPr>
      <w:rFonts w:ascii="Times New Roman" w:eastAsia="Times New Roman" w:hAnsi="Times New Roman" w:cs="Times New Roman"/>
      <w:bCs/>
      <w:lang w:eastAsia="pt-BR"/>
    </w:rPr>
  </w:style>
  <w:style w:type="character" w:customStyle="1" w:styleId="Ttulo4Char">
    <w:name w:val="Título 4 Char"/>
    <w:basedOn w:val="Fontepargpadro"/>
    <w:link w:val="Ttulo4"/>
    <w:uiPriority w:val="9"/>
    <w:rsid w:val="00974FE6"/>
    <w:rPr>
      <w:rFonts w:ascii="Times New Roman" w:eastAsia="Times New Roman" w:hAnsi="Times New Roman" w:cs="Times New Roman"/>
      <w:bCs/>
      <w:iCs/>
      <w:lang w:eastAsia="pt-BR"/>
    </w:rPr>
  </w:style>
  <w:style w:type="character" w:customStyle="1" w:styleId="Ttulo6Char">
    <w:name w:val="Título 6 Char"/>
    <w:basedOn w:val="Fontepargpadro"/>
    <w:link w:val="Ttulo6"/>
    <w:uiPriority w:val="9"/>
    <w:rsid w:val="00974FE6"/>
    <w:rPr>
      <w:rFonts w:ascii="Cambria" w:eastAsia="Times New Roman" w:hAnsi="Cambria" w:cs="Times New Roman"/>
      <w:i/>
      <w:iCs/>
      <w:color w:val="243F60"/>
      <w:szCs w:val="20"/>
    </w:rPr>
  </w:style>
  <w:style w:type="character" w:customStyle="1" w:styleId="Ttulo7Char">
    <w:name w:val="Título 7 Char"/>
    <w:basedOn w:val="Fontepargpadro"/>
    <w:link w:val="Ttulo7"/>
    <w:uiPriority w:val="9"/>
    <w:rsid w:val="00974FE6"/>
    <w:rPr>
      <w:rFonts w:ascii="Cambria" w:eastAsia="Times New Roman" w:hAnsi="Cambria" w:cs="Times New Roman"/>
      <w:i/>
      <w:iCs/>
      <w:color w:val="404040"/>
      <w:szCs w:val="20"/>
    </w:rPr>
  </w:style>
  <w:style w:type="character" w:customStyle="1" w:styleId="Ttulo8Char">
    <w:name w:val="Título 8 Char"/>
    <w:basedOn w:val="Fontepargpadro"/>
    <w:link w:val="Ttulo8"/>
    <w:uiPriority w:val="9"/>
    <w:rsid w:val="00974FE6"/>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rsid w:val="00974FE6"/>
    <w:rPr>
      <w:rFonts w:ascii="Cambria" w:eastAsia="Times New Roman" w:hAnsi="Cambria" w:cs="Times New Roman"/>
      <w:i/>
      <w:iCs/>
      <w:color w:val="404040"/>
      <w:sz w:val="20"/>
      <w:szCs w:val="20"/>
    </w:rPr>
  </w:style>
  <w:style w:type="paragraph" w:customStyle="1" w:styleId="Texto">
    <w:name w:val="Texto"/>
    <w:basedOn w:val="Normal"/>
    <w:qFormat/>
    <w:rsid w:val="00974FE6"/>
    <w:pPr>
      <w:ind w:firstLine="709"/>
      <w:jc w:val="both"/>
    </w:pPr>
  </w:style>
  <w:style w:type="paragraph" w:customStyle="1" w:styleId="Alnea">
    <w:name w:val="Alínea"/>
    <w:basedOn w:val="Normal"/>
    <w:qFormat/>
    <w:rsid w:val="00974FE6"/>
    <w:pPr>
      <w:numPr>
        <w:numId w:val="10"/>
      </w:numPr>
      <w:jc w:val="both"/>
    </w:pPr>
  </w:style>
  <w:style w:type="paragraph" w:styleId="Legenda">
    <w:name w:val="caption"/>
    <w:basedOn w:val="Normal"/>
    <w:next w:val="Normal"/>
    <w:uiPriority w:val="35"/>
    <w:qFormat/>
    <w:rsid w:val="00CA5044"/>
    <w:rPr>
      <w:bCs/>
      <w:sz w:val="20"/>
      <w:szCs w:val="18"/>
    </w:rPr>
  </w:style>
  <w:style w:type="paragraph" w:customStyle="1" w:styleId="Referncia">
    <w:name w:val="Referência"/>
    <w:basedOn w:val="Normal"/>
    <w:qFormat/>
    <w:rsid w:val="00CA5044"/>
    <w:pPr>
      <w:spacing w:after="200"/>
    </w:pPr>
  </w:style>
  <w:style w:type="character" w:styleId="Forte">
    <w:name w:val="Strong"/>
    <w:uiPriority w:val="22"/>
    <w:qFormat/>
    <w:rsid w:val="00CA5044"/>
    <w:rPr>
      <w:b/>
      <w:bCs/>
    </w:rPr>
  </w:style>
  <w:style w:type="character" w:styleId="Hyperlink">
    <w:name w:val="Hyperlink"/>
    <w:basedOn w:val="Fontepargpadro"/>
    <w:uiPriority w:val="99"/>
    <w:unhideWhenUsed/>
    <w:rsid w:val="001852BC"/>
    <w:rPr>
      <w:color w:val="0000FF"/>
      <w:u w:val="single"/>
    </w:rPr>
  </w:style>
  <w:style w:type="character" w:styleId="HiperlinkVisitado">
    <w:name w:val="FollowedHyperlink"/>
    <w:basedOn w:val="Fontepargpadro"/>
    <w:uiPriority w:val="99"/>
    <w:semiHidden/>
    <w:unhideWhenUsed/>
    <w:rsid w:val="006A60ED"/>
    <w:rPr>
      <w:color w:val="954F72" w:themeColor="followedHyperlink"/>
      <w:u w:val="single"/>
    </w:rPr>
  </w:style>
  <w:style w:type="character" w:styleId="Refdecomentrio">
    <w:name w:val="annotation reference"/>
    <w:basedOn w:val="Fontepargpadro"/>
    <w:uiPriority w:val="99"/>
    <w:semiHidden/>
    <w:unhideWhenUsed/>
    <w:rsid w:val="00340FA1"/>
    <w:rPr>
      <w:sz w:val="16"/>
      <w:szCs w:val="16"/>
    </w:rPr>
  </w:style>
  <w:style w:type="paragraph" w:styleId="Textodecomentrio">
    <w:name w:val="annotation text"/>
    <w:basedOn w:val="Normal"/>
    <w:link w:val="TextodecomentrioChar"/>
    <w:uiPriority w:val="99"/>
    <w:unhideWhenUsed/>
    <w:rsid w:val="00340FA1"/>
    <w:rPr>
      <w:sz w:val="20"/>
      <w:szCs w:val="20"/>
    </w:rPr>
  </w:style>
  <w:style w:type="character" w:customStyle="1" w:styleId="TextodecomentrioChar">
    <w:name w:val="Texto de comentário Char"/>
    <w:basedOn w:val="Fontepargpadro"/>
    <w:link w:val="Textodecomentrio"/>
    <w:uiPriority w:val="99"/>
    <w:rsid w:val="00340FA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0FA1"/>
    <w:rPr>
      <w:b/>
      <w:bCs/>
    </w:rPr>
  </w:style>
  <w:style w:type="character" w:customStyle="1" w:styleId="AssuntodocomentrioChar">
    <w:name w:val="Assunto do comentário Char"/>
    <w:basedOn w:val="TextodecomentrioChar"/>
    <w:link w:val="Assuntodocomentrio"/>
    <w:uiPriority w:val="99"/>
    <w:semiHidden/>
    <w:rsid w:val="00340FA1"/>
    <w:rPr>
      <w:rFonts w:ascii="Times New Roman" w:eastAsia="Times New Roman" w:hAnsi="Times New Roman" w:cs="Times New Roman"/>
      <w:b/>
      <w:bCs/>
      <w:sz w:val="20"/>
      <w:szCs w:val="20"/>
      <w:lang w:eastAsia="pt-BR"/>
    </w:rPr>
  </w:style>
  <w:style w:type="character" w:customStyle="1" w:styleId="UnresolvedMention">
    <w:name w:val="Unresolved Mention"/>
    <w:basedOn w:val="Fontepargpadro"/>
    <w:uiPriority w:val="99"/>
    <w:semiHidden/>
    <w:unhideWhenUsed/>
    <w:rsid w:val="00773F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93585">
      <w:bodyDiv w:val="1"/>
      <w:marLeft w:val="0"/>
      <w:marRight w:val="0"/>
      <w:marTop w:val="0"/>
      <w:marBottom w:val="0"/>
      <w:divBdr>
        <w:top w:val="none" w:sz="0" w:space="0" w:color="auto"/>
        <w:left w:val="none" w:sz="0" w:space="0" w:color="auto"/>
        <w:bottom w:val="none" w:sz="0" w:space="0" w:color="auto"/>
        <w:right w:val="none" w:sz="0" w:space="0" w:color="auto"/>
      </w:divBdr>
      <w:divsChild>
        <w:div w:id="1953708690">
          <w:marLeft w:val="0"/>
          <w:marRight w:val="0"/>
          <w:marTop w:val="0"/>
          <w:marBottom w:val="0"/>
          <w:divBdr>
            <w:top w:val="none" w:sz="0" w:space="0" w:color="auto"/>
            <w:left w:val="none" w:sz="0" w:space="0" w:color="auto"/>
            <w:bottom w:val="none" w:sz="0" w:space="0" w:color="auto"/>
            <w:right w:val="none" w:sz="0" w:space="0" w:color="auto"/>
          </w:divBdr>
          <w:divsChild>
            <w:div w:id="69697524">
              <w:marLeft w:val="0"/>
              <w:marRight w:val="0"/>
              <w:marTop w:val="0"/>
              <w:marBottom w:val="0"/>
              <w:divBdr>
                <w:top w:val="none" w:sz="0" w:space="0" w:color="auto"/>
                <w:left w:val="none" w:sz="0" w:space="0" w:color="auto"/>
                <w:bottom w:val="none" w:sz="0" w:space="0" w:color="auto"/>
                <w:right w:val="none" w:sz="0" w:space="0" w:color="auto"/>
              </w:divBdr>
              <w:divsChild>
                <w:div w:id="404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5884">
      <w:bodyDiv w:val="1"/>
      <w:marLeft w:val="0"/>
      <w:marRight w:val="0"/>
      <w:marTop w:val="0"/>
      <w:marBottom w:val="0"/>
      <w:divBdr>
        <w:top w:val="none" w:sz="0" w:space="0" w:color="auto"/>
        <w:left w:val="none" w:sz="0" w:space="0" w:color="auto"/>
        <w:bottom w:val="none" w:sz="0" w:space="0" w:color="auto"/>
        <w:right w:val="none" w:sz="0" w:space="0" w:color="auto"/>
      </w:divBdr>
    </w:div>
    <w:div w:id="37360221">
      <w:bodyDiv w:val="1"/>
      <w:marLeft w:val="0"/>
      <w:marRight w:val="0"/>
      <w:marTop w:val="0"/>
      <w:marBottom w:val="0"/>
      <w:divBdr>
        <w:top w:val="none" w:sz="0" w:space="0" w:color="auto"/>
        <w:left w:val="none" w:sz="0" w:space="0" w:color="auto"/>
        <w:bottom w:val="none" w:sz="0" w:space="0" w:color="auto"/>
        <w:right w:val="none" w:sz="0" w:space="0" w:color="auto"/>
      </w:divBdr>
      <w:divsChild>
        <w:div w:id="1810708621">
          <w:marLeft w:val="0"/>
          <w:marRight w:val="0"/>
          <w:marTop w:val="0"/>
          <w:marBottom w:val="0"/>
          <w:divBdr>
            <w:top w:val="none" w:sz="0" w:space="0" w:color="auto"/>
            <w:left w:val="none" w:sz="0" w:space="0" w:color="auto"/>
            <w:bottom w:val="none" w:sz="0" w:space="0" w:color="auto"/>
            <w:right w:val="none" w:sz="0" w:space="0" w:color="auto"/>
          </w:divBdr>
          <w:divsChild>
            <w:div w:id="220137902">
              <w:marLeft w:val="0"/>
              <w:marRight w:val="0"/>
              <w:marTop w:val="0"/>
              <w:marBottom w:val="0"/>
              <w:divBdr>
                <w:top w:val="none" w:sz="0" w:space="0" w:color="auto"/>
                <w:left w:val="none" w:sz="0" w:space="0" w:color="auto"/>
                <w:bottom w:val="none" w:sz="0" w:space="0" w:color="auto"/>
                <w:right w:val="none" w:sz="0" w:space="0" w:color="auto"/>
              </w:divBdr>
              <w:divsChild>
                <w:div w:id="1416319853">
                  <w:marLeft w:val="0"/>
                  <w:marRight w:val="0"/>
                  <w:marTop w:val="0"/>
                  <w:marBottom w:val="0"/>
                  <w:divBdr>
                    <w:top w:val="none" w:sz="0" w:space="0" w:color="auto"/>
                    <w:left w:val="none" w:sz="0" w:space="0" w:color="auto"/>
                    <w:bottom w:val="none" w:sz="0" w:space="0" w:color="auto"/>
                    <w:right w:val="none" w:sz="0" w:space="0" w:color="auto"/>
                  </w:divBdr>
                  <w:divsChild>
                    <w:div w:id="4486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1427">
      <w:bodyDiv w:val="1"/>
      <w:marLeft w:val="0"/>
      <w:marRight w:val="0"/>
      <w:marTop w:val="0"/>
      <w:marBottom w:val="0"/>
      <w:divBdr>
        <w:top w:val="none" w:sz="0" w:space="0" w:color="auto"/>
        <w:left w:val="none" w:sz="0" w:space="0" w:color="auto"/>
        <w:bottom w:val="none" w:sz="0" w:space="0" w:color="auto"/>
        <w:right w:val="none" w:sz="0" w:space="0" w:color="auto"/>
      </w:divBdr>
    </w:div>
    <w:div w:id="106199149">
      <w:bodyDiv w:val="1"/>
      <w:marLeft w:val="0"/>
      <w:marRight w:val="0"/>
      <w:marTop w:val="0"/>
      <w:marBottom w:val="0"/>
      <w:divBdr>
        <w:top w:val="none" w:sz="0" w:space="0" w:color="auto"/>
        <w:left w:val="none" w:sz="0" w:space="0" w:color="auto"/>
        <w:bottom w:val="none" w:sz="0" w:space="0" w:color="auto"/>
        <w:right w:val="none" w:sz="0" w:space="0" w:color="auto"/>
      </w:divBdr>
    </w:div>
    <w:div w:id="151334377">
      <w:bodyDiv w:val="1"/>
      <w:marLeft w:val="0"/>
      <w:marRight w:val="0"/>
      <w:marTop w:val="0"/>
      <w:marBottom w:val="0"/>
      <w:divBdr>
        <w:top w:val="none" w:sz="0" w:space="0" w:color="auto"/>
        <w:left w:val="none" w:sz="0" w:space="0" w:color="auto"/>
        <w:bottom w:val="none" w:sz="0" w:space="0" w:color="auto"/>
        <w:right w:val="none" w:sz="0" w:space="0" w:color="auto"/>
      </w:divBdr>
    </w:div>
    <w:div w:id="153764636">
      <w:bodyDiv w:val="1"/>
      <w:marLeft w:val="0"/>
      <w:marRight w:val="0"/>
      <w:marTop w:val="0"/>
      <w:marBottom w:val="0"/>
      <w:divBdr>
        <w:top w:val="none" w:sz="0" w:space="0" w:color="auto"/>
        <w:left w:val="none" w:sz="0" w:space="0" w:color="auto"/>
        <w:bottom w:val="none" w:sz="0" w:space="0" w:color="auto"/>
        <w:right w:val="none" w:sz="0" w:space="0" w:color="auto"/>
      </w:divBdr>
    </w:div>
    <w:div w:id="164050826">
      <w:bodyDiv w:val="1"/>
      <w:marLeft w:val="0"/>
      <w:marRight w:val="0"/>
      <w:marTop w:val="0"/>
      <w:marBottom w:val="0"/>
      <w:divBdr>
        <w:top w:val="none" w:sz="0" w:space="0" w:color="auto"/>
        <w:left w:val="none" w:sz="0" w:space="0" w:color="auto"/>
        <w:bottom w:val="none" w:sz="0" w:space="0" w:color="auto"/>
        <w:right w:val="none" w:sz="0" w:space="0" w:color="auto"/>
      </w:divBdr>
      <w:divsChild>
        <w:div w:id="1987389626">
          <w:marLeft w:val="0"/>
          <w:marRight w:val="0"/>
          <w:marTop w:val="0"/>
          <w:marBottom w:val="0"/>
          <w:divBdr>
            <w:top w:val="none" w:sz="0" w:space="0" w:color="auto"/>
            <w:left w:val="none" w:sz="0" w:space="0" w:color="auto"/>
            <w:bottom w:val="none" w:sz="0" w:space="0" w:color="auto"/>
            <w:right w:val="none" w:sz="0" w:space="0" w:color="auto"/>
          </w:divBdr>
          <w:divsChild>
            <w:div w:id="302392499">
              <w:marLeft w:val="0"/>
              <w:marRight w:val="0"/>
              <w:marTop w:val="0"/>
              <w:marBottom w:val="0"/>
              <w:divBdr>
                <w:top w:val="none" w:sz="0" w:space="0" w:color="auto"/>
                <w:left w:val="none" w:sz="0" w:space="0" w:color="auto"/>
                <w:bottom w:val="none" w:sz="0" w:space="0" w:color="auto"/>
                <w:right w:val="none" w:sz="0" w:space="0" w:color="auto"/>
              </w:divBdr>
              <w:divsChild>
                <w:div w:id="206382767">
                  <w:marLeft w:val="0"/>
                  <w:marRight w:val="0"/>
                  <w:marTop w:val="0"/>
                  <w:marBottom w:val="0"/>
                  <w:divBdr>
                    <w:top w:val="none" w:sz="0" w:space="0" w:color="auto"/>
                    <w:left w:val="none" w:sz="0" w:space="0" w:color="auto"/>
                    <w:bottom w:val="none" w:sz="0" w:space="0" w:color="auto"/>
                    <w:right w:val="none" w:sz="0" w:space="0" w:color="auto"/>
                  </w:divBdr>
                  <w:divsChild>
                    <w:div w:id="17342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6017">
      <w:bodyDiv w:val="1"/>
      <w:marLeft w:val="0"/>
      <w:marRight w:val="0"/>
      <w:marTop w:val="0"/>
      <w:marBottom w:val="0"/>
      <w:divBdr>
        <w:top w:val="none" w:sz="0" w:space="0" w:color="auto"/>
        <w:left w:val="none" w:sz="0" w:space="0" w:color="auto"/>
        <w:bottom w:val="none" w:sz="0" w:space="0" w:color="auto"/>
        <w:right w:val="none" w:sz="0" w:space="0" w:color="auto"/>
      </w:divBdr>
      <w:divsChild>
        <w:div w:id="55402163">
          <w:marLeft w:val="0"/>
          <w:marRight w:val="0"/>
          <w:marTop w:val="0"/>
          <w:marBottom w:val="0"/>
          <w:divBdr>
            <w:top w:val="none" w:sz="0" w:space="0" w:color="auto"/>
            <w:left w:val="none" w:sz="0" w:space="0" w:color="auto"/>
            <w:bottom w:val="none" w:sz="0" w:space="0" w:color="auto"/>
            <w:right w:val="none" w:sz="0" w:space="0" w:color="auto"/>
          </w:divBdr>
          <w:divsChild>
            <w:div w:id="19353846">
              <w:marLeft w:val="0"/>
              <w:marRight w:val="0"/>
              <w:marTop w:val="0"/>
              <w:marBottom w:val="0"/>
              <w:divBdr>
                <w:top w:val="none" w:sz="0" w:space="0" w:color="auto"/>
                <w:left w:val="none" w:sz="0" w:space="0" w:color="auto"/>
                <w:bottom w:val="none" w:sz="0" w:space="0" w:color="auto"/>
                <w:right w:val="none" w:sz="0" w:space="0" w:color="auto"/>
              </w:divBdr>
              <w:divsChild>
                <w:div w:id="1071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3762">
      <w:bodyDiv w:val="1"/>
      <w:marLeft w:val="0"/>
      <w:marRight w:val="0"/>
      <w:marTop w:val="0"/>
      <w:marBottom w:val="0"/>
      <w:divBdr>
        <w:top w:val="none" w:sz="0" w:space="0" w:color="auto"/>
        <w:left w:val="none" w:sz="0" w:space="0" w:color="auto"/>
        <w:bottom w:val="none" w:sz="0" w:space="0" w:color="auto"/>
        <w:right w:val="none" w:sz="0" w:space="0" w:color="auto"/>
      </w:divBdr>
    </w:div>
    <w:div w:id="223764219">
      <w:bodyDiv w:val="1"/>
      <w:marLeft w:val="0"/>
      <w:marRight w:val="0"/>
      <w:marTop w:val="0"/>
      <w:marBottom w:val="0"/>
      <w:divBdr>
        <w:top w:val="none" w:sz="0" w:space="0" w:color="auto"/>
        <w:left w:val="none" w:sz="0" w:space="0" w:color="auto"/>
        <w:bottom w:val="none" w:sz="0" w:space="0" w:color="auto"/>
        <w:right w:val="none" w:sz="0" w:space="0" w:color="auto"/>
      </w:divBdr>
    </w:div>
    <w:div w:id="235819819">
      <w:bodyDiv w:val="1"/>
      <w:marLeft w:val="0"/>
      <w:marRight w:val="0"/>
      <w:marTop w:val="0"/>
      <w:marBottom w:val="0"/>
      <w:divBdr>
        <w:top w:val="none" w:sz="0" w:space="0" w:color="auto"/>
        <w:left w:val="none" w:sz="0" w:space="0" w:color="auto"/>
        <w:bottom w:val="none" w:sz="0" w:space="0" w:color="auto"/>
        <w:right w:val="none" w:sz="0" w:space="0" w:color="auto"/>
      </w:divBdr>
    </w:div>
    <w:div w:id="239095941">
      <w:bodyDiv w:val="1"/>
      <w:marLeft w:val="0"/>
      <w:marRight w:val="0"/>
      <w:marTop w:val="0"/>
      <w:marBottom w:val="0"/>
      <w:divBdr>
        <w:top w:val="none" w:sz="0" w:space="0" w:color="auto"/>
        <w:left w:val="none" w:sz="0" w:space="0" w:color="auto"/>
        <w:bottom w:val="none" w:sz="0" w:space="0" w:color="auto"/>
        <w:right w:val="none" w:sz="0" w:space="0" w:color="auto"/>
      </w:divBdr>
    </w:div>
    <w:div w:id="251864150">
      <w:bodyDiv w:val="1"/>
      <w:marLeft w:val="0"/>
      <w:marRight w:val="0"/>
      <w:marTop w:val="0"/>
      <w:marBottom w:val="0"/>
      <w:divBdr>
        <w:top w:val="none" w:sz="0" w:space="0" w:color="auto"/>
        <w:left w:val="none" w:sz="0" w:space="0" w:color="auto"/>
        <w:bottom w:val="none" w:sz="0" w:space="0" w:color="auto"/>
        <w:right w:val="none" w:sz="0" w:space="0" w:color="auto"/>
      </w:divBdr>
    </w:div>
    <w:div w:id="254366599">
      <w:bodyDiv w:val="1"/>
      <w:marLeft w:val="0"/>
      <w:marRight w:val="0"/>
      <w:marTop w:val="0"/>
      <w:marBottom w:val="0"/>
      <w:divBdr>
        <w:top w:val="none" w:sz="0" w:space="0" w:color="auto"/>
        <w:left w:val="none" w:sz="0" w:space="0" w:color="auto"/>
        <w:bottom w:val="none" w:sz="0" w:space="0" w:color="auto"/>
        <w:right w:val="none" w:sz="0" w:space="0" w:color="auto"/>
      </w:divBdr>
    </w:div>
    <w:div w:id="290747207">
      <w:bodyDiv w:val="1"/>
      <w:marLeft w:val="0"/>
      <w:marRight w:val="0"/>
      <w:marTop w:val="0"/>
      <w:marBottom w:val="0"/>
      <w:divBdr>
        <w:top w:val="none" w:sz="0" w:space="0" w:color="auto"/>
        <w:left w:val="none" w:sz="0" w:space="0" w:color="auto"/>
        <w:bottom w:val="none" w:sz="0" w:space="0" w:color="auto"/>
        <w:right w:val="none" w:sz="0" w:space="0" w:color="auto"/>
      </w:divBdr>
      <w:divsChild>
        <w:div w:id="1805272900">
          <w:marLeft w:val="0"/>
          <w:marRight w:val="0"/>
          <w:marTop w:val="0"/>
          <w:marBottom w:val="0"/>
          <w:divBdr>
            <w:top w:val="none" w:sz="0" w:space="0" w:color="auto"/>
            <w:left w:val="none" w:sz="0" w:space="0" w:color="auto"/>
            <w:bottom w:val="none" w:sz="0" w:space="0" w:color="auto"/>
            <w:right w:val="none" w:sz="0" w:space="0" w:color="auto"/>
          </w:divBdr>
          <w:divsChild>
            <w:div w:id="233702850">
              <w:marLeft w:val="0"/>
              <w:marRight w:val="0"/>
              <w:marTop w:val="0"/>
              <w:marBottom w:val="0"/>
              <w:divBdr>
                <w:top w:val="none" w:sz="0" w:space="0" w:color="auto"/>
                <w:left w:val="none" w:sz="0" w:space="0" w:color="auto"/>
                <w:bottom w:val="none" w:sz="0" w:space="0" w:color="auto"/>
                <w:right w:val="none" w:sz="0" w:space="0" w:color="auto"/>
              </w:divBdr>
              <w:divsChild>
                <w:div w:id="17196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3131">
      <w:bodyDiv w:val="1"/>
      <w:marLeft w:val="0"/>
      <w:marRight w:val="0"/>
      <w:marTop w:val="0"/>
      <w:marBottom w:val="0"/>
      <w:divBdr>
        <w:top w:val="none" w:sz="0" w:space="0" w:color="auto"/>
        <w:left w:val="none" w:sz="0" w:space="0" w:color="auto"/>
        <w:bottom w:val="none" w:sz="0" w:space="0" w:color="auto"/>
        <w:right w:val="none" w:sz="0" w:space="0" w:color="auto"/>
      </w:divBdr>
      <w:divsChild>
        <w:div w:id="713576554">
          <w:marLeft w:val="0"/>
          <w:marRight w:val="0"/>
          <w:marTop w:val="0"/>
          <w:marBottom w:val="0"/>
          <w:divBdr>
            <w:top w:val="none" w:sz="0" w:space="0" w:color="auto"/>
            <w:left w:val="none" w:sz="0" w:space="0" w:color="auto"/>
            <w:bottom w:val="none" w:sz="0" w:space="0" w:color="auto"/>
            <w:right w:val="none" w:sz="0" w:space="0" w:color="auto"/>
          </w:divBdr>
          <w:divsChild>
            <w:div w:id="1372652011">
              <w:marLeft w:val="0"/>
              <w:marRight w:val="0"/>
              <w:marTop w:val="0"/>
              <w:marBottom w:val="0"/>
              <w:divBdr>
                <w:top w:val="none" w:sz="0" w:space="0" w:color="auto"/>
                <w:left w:val="none" w:sz="0" w:space="0" w:color="auto"/>
                <w:bottom w:val="none" w:sz="0" w:space="0" w:color="auto"/>
                <w:right w:val="none" w:sz="0" w:space="0" w:color="auto"/>
              </w:divBdr>
              <w:divsChild>
                <w:div w:id="23142835">
                  <w:marLeft w:val="0"/>
                  <w:marRight w:val="0"/>
                  <w:marTop w:val="0"/>
                  <w:marBottom w:val="0"/>
                  <w:divBdr>
                    <w:top w:val="none" w:sz="0" w:space="0" w:color="auto"/>
                    <w:left w:val="none" w:sz="0" w:space="0" w:color="auto"/>
                    <w:bottom w:val="none" w:sz="0" w:space="0" w:color="auto"/>
                    <w:right w:val="none" w:sz="0" w:space="0" w:color="auto"/>
                  </w:divBdr>
                  <w:divsChild>
                    <w:div w:id="9413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1594">
      <w:bodyDiv w:val="1"/>
      <w:marLeft w:val="0"/>
      <w:marRight w:val="0"/>
      <w:marTop w:val="0"/>
      <w:marBottom w:val="0"/>
      <w:divBdr>
        <w:top w:val="none" w:sz="0" w:space="0" w:color="auto"/>
        <w:left w:val="none" w:sz="0" w:space="0" w:color="auto"/>
        <w:bottom w:val="none" w:sz="0" w:space="0" w:color="auto"/>
        <w:right w:val="none" w:sz="0" w:space="0" w:color="auto"/>
      </w:divBdr>
    </w:div>
    <w:div w:id="433939562">
      <w:bodyDiv w:val="1"/>
      <w:marLeft w:val="0"/>
      <w:marRight w:val="0"/>
      <w:marTop w:val="0"/>
      <w:marBottom w:val="0"/>
      <w:divBdr>
        <w:top w:val="none" w:sz="0" w:space="0" w:color="auto"/>
        <w:left w:val="none" w:sz="0" w:space="0" w:color="auto"/>
        <w:bottom w:val="none" w:sz="0" w:space="0" w:color="auto"/>
        <w:right w:val="none" w:sz="0" w:space="0" w:color="auto"/>
      </w:divBdr>
      <w:divsChild>
        <w:div w:id="1031614995">
          <w:marLeft w:val="0"/>
          <w:marRight w:val="0"/>
          <w:marTop w:val="0"/>
          <w:marBottom w:val="0"/>
          <w:divBdr>
            <w:top w:val="none" w:sz="0" w:space="0" w:color="auto"/>
            <w:left w:val="none" w:sz="0" w:space="0" w:color="auto"/>
            <w:bottom w:val="none" w:sz="0" w:space="0" w:color="auto"/>
            <w:right w:val="none" w:sz="0" w:space="0" w:color="auto"/>
          </w:divBdr>
          <w:divsChild>
            <w:div w:id="887111576">
              <w:marLeft w:val="0"/>
              <w:marRight w:val="0"/>
              <w:marTop w:val="0"/>
              <w:marBottom w:val="0"/>
              <w:divBdr>
                <w:top w:val="none" w:sz="0" w:space="0" w:color="auto"/>
                <w:left w:val="none" w:sz="0" w:space="0" w:color="auto"/>
                <w:bottom w:val="none" w:sz="0" w:space="0" w:color="auto"/>
                <w:right w:val="none" w:sz="0" w:space="0" w:color="auto"/>
              </w:divBdr>
              <w:divsChild>
                <w:div w:id="1677222029">
                  <w:marLeft w:val="0"/>
                  <w:marRight w:val="0"/>
                  <w:marTop w:val="0"/>
                  <w:marBottom w:val="0"/>
                  <w:divBdr>
                    <w:top w:val="none" w:sz="0" w:space="0" w:color="auto"/>
                    <w:left w:val="none" w:sz="0" w:space="0" w:color="auto"/>
                    <w:bottom w:val="none" w:sz="0" w:space="0" w:color="auto"/>
                    <w:right w:val="none" w:sz="0" w:space="0" w:color="auto"/>
                  </w:divBdr>
                  <w:divsChild>
                    <w:div w:id="17770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3470">
      <w:bodyDiv w:val="1"/>
      <w:marLeft w:val="0"/>
      <w:marRight w:val="0"/>
      <w:marTop w:val="0"/>
      <w:marBottom w:val="0"/>
      <w:divBdr>
        <w:top w:val="none" w:sz="0" w:space="0" w:color="auto"/>
        <w:left w:val="none" w:sz="0" w:space="0" w:color="auto"/>
        <w:bottom w:val="none" w:sz="0" w:space="0" w:color="auto"/>
        <w:right w:val="none" w:sz="0" w:space="0" w:color="auto"/>
      </w:divBdr>
    </w:div>
    <w:div w:id="490759476">
      <w:bodyDiv w:val="1"/>
      <w:marLeft w:val="0"/>
      <w:marRight w:val="0"/>
      <w:marTop w:val="0"/>
      <w:marBottom w:val="0"/>
      <w:divBdr>
        <w:top w:val="none" w:sz="0" w:space="0" w:color="auto"/>
        <w:left w:val="none" w:sz="0" w:space="0" w:color="auto"/>
        <w:bottom w:val="none" w:sz="0" w:space="0" w:color="auto"/>
        <w:right w:val="none" w:sz="0" w:space="0" w:color="auto"/>
      </w:divBdr>
    </w:div>
    <w:div w:id="524372383">
      <w:bodyDiv w:val="1"/>
      <w:marLeft w:val="0"/>
      <w:marRight w:val="0"/>
      <w:marTop w:val="0"/>
      <w:marBottom w:val="0"/>
      <w:divBdr>
        <w:top w:val="none" w:sz="0" w:space="0" w:color="auto"/>
        <w:left w:val="none" w:sz="0" w:space="0" w:color="auto"/>
        <w:bottom w:val="none" w:sz="0" w:space="0" w:color="auto"/>
        <w:right w:val="none" w:sz="0" w:space="0" w:color="auto"/>
      </w:divBdr>
      <w:divsChild>
        <w:div w:id="627131197">
          <w:marLeft w:val="0"/>
          <w:marRight w:val="0"/>
          <w:marTop w:val="0"/>
          <w:marBottom w:val="0"/>
          <w:divBdr>
            <w:top w:val="none" w:sz="0" w:space="0" w:color="auto"/>
            <w:left w:val="none" w:sz="0" w:space="0" w:color="auto"/>
            <w:bottom w:val="none" w:sz="0" w:space="0" w:color="auto"/>
            <w:right w:val="none" w:sz="0" w:space="0" w:color="auto"/>
          </w:divBdr>
          <w:divsChild>
            <w:div w:id="1685399889">
              <w:marLeft w:val="0"/>
              <w:marRight w:val="0"/>
              <w:marTop w:val="0"/>
              <w:marBottom w:val="0"/>
              <w:divBdr>
                <w:top w:val="none" w:sz="0" w:space="0" w:color="auto"/>
                <w:left w:val="none" w:sz="0" w:space="0" w:color="auto"/>
                <w:bottom w:val="none" w:sz="0" w:space="0" w:color="auto"/>
                <w:right w:val="none" w:sz="0" w:space="0" w:color="auto"/>
              </w:divBdr>
              <w:divsChild>
                <w:div w:id="18213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1105">
      <w:bodyDiv w:val="1"/>
      <w:marLeft w:val="0"/>
      <w:marRight w:val="0"/>
      <w:marTop w:val="0"/>
      <w:marBottom w:val="0"/>
      <w:divBdr>
        <w:top w:val="none" w:sz="0" w:space="0" w:color="auto"/>
        <w:left w:val="none" w:sz="0" w:space="0" w:color="auto"/>
        <w:bottom w:val="none" w:sz="0" w:space="0" w:color="auto"/>
        <w:right w:val="none" w:sz="0" w:space="0" w:color="auto"/>
      </w:divBdr>
      <w:divsChild>
        <w:div w:id="1661079951">
          <w:marLeft w:val="0"/>
          <w:marRight w:val="0"/>
          <w:marTop w:val="0"/>
          <w:marBottom w:val="0"/>
          <w:divBdr>
            <w:top w:val="none" w:sz="0" w:space="0" w:color="auto"/>
            <w:left w:val="none" w:sz="0" w:space="0" w:color="auto"/>
            <w:bottom w:val="none" w:sz="0" w:space="0" w:color="auto"/>
            <w:right w:val="none" w:sz="0" w:space="0" w:color="auto"/>
          </w:divBdr>
          <w:divsChild>
            <w:div w:id="106242266">
              <w:marLeft w:val="0"/>
              <w:marRight w:val="0"/>
              <w:marTop w:val="0"/>
              <w:marBottom w:val="0"/>
              <w:divBdr>
                <w:top w:val="none" w:sz="0" w:space="0" w:color="auto"/>
                <w:left w:val="none" w:sz="0" w:space="0" w:color="auto"/>
                <w:bottom w:val="none" w:sz="0" w:space="0" w:color="auto"/>
                <w:right w:val="none" w:sz="0" w:space="0" w:color="auto"/>
              </w:divBdr>
              <w:divsChild>
                <w:div w:id="1984382160">
                  <w:marLeft w:val="0"/>
                  <w:marRight w:val="0"/>
                  <w:marTop w:val="0"/>
                  <w:marBottom w:val="0"/>
                  <w:divBdr>
                    <w:top w:val="none" w:sz="0" w:space="0" w:color="auto"/>
                    <w:left w:val="none" w:sz="0" w:space="0" w:color="auto"/>
                    <w:bottom w:val="none" w:sz="0" w:space="0" w:color="auto"/>
                    <w:right w:val="none" w:sz="0" w:space="0" w:color="auto"/>
                  </w:divBdr>
                  <w:divsChild>
                    <w:div w:id="154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7221">
      <w:bodyDiv w:val="1"/>
      <w:marLeft w:val="0"/>
      <w:marRight w:val="0"/>
      <w:marTop w:val="0"/>
      <w:marBottom w:val="0"/>
      <w:divBdr>
        <w:top w:val="none" w:sz="0" w:space="0" w:color="auto"/>
        <w:left w:val="none" w:sz="0" w:space="0" w:color="auto"/>
        <w:bottom w:val="none" w:sz="0" w:space="0" w:color="auto"/>
        <w:right w:val="none" w:sz="0" w:space="0" w:color="auto"/>
      </w:divBdr>
    </w:div>
    <w:div w:id="624702320">
      <w:bodyDiv w:val="1"/>
      <w:marLeft w:val="0"/>
      <w:marRight w:val="0"/>
      <w:marTop w:val="0"/>
      <w:marBottom w:val="0"/>
      <w:divBdr>
        <w:top w:val="none" w:sz="0" w:space="0" w:color="auto"/>
        <w:left w:val="none" w:sz="0" w:space="0" w:color="auto"/>
        <w:bottom w:val="none" w:sz="0" w:space="0" w:color="auto"/>
        <w:right w:val="none" w:sz="0" w:space="0" w:color="auto"/>
      </w:divBdr>
    </w:div>
    <w:div w:id="630405417">
      <w:bodyDiv w:val="1"/>
      <w:marLeft w:val="0"/>
      <w:marRight w:val="0"/>
      <w:marTop w:val="0"/>
      <w:marBottom w:val="0"/>
      <w:divBdr>
        <w:top w:val="none" w:sz="0" w:space="0" w:color="auto"/>
        <w:left w:val="none" w:sz="0" w:space="0" w:color="auto"/>
        <w:bottom w:val="none" w:sz="0" w:space="0" w:color="auto"/>
        <w:right w:val="none" w:sz="0" w:space="0" w:color="auto"/>
      </w:divBdr>
    </w:div>
    <w:div w:id="650527450">
      <w:bodyDiv w:val="1"/>
      <w:marLeft w:val="0"/>
      <w:marRight w:val="0"/>
      <w:marTop w:val="0"/>
      <w:marBottom w:val="0"/>
      <w:divBdr>
        <w:top w:val="none" w:sz="0" w:space="0" w:color="auto"/>
        <w:left w:val="none" w:sz="0" w:space="0" w:color="auto"/>
        <w:bottom w:val="none" w:sz="0" w:space="0" w:color="auto"/>
        <w:right w:val="none" w:sz="0" w:space="0" w:color="auto"/>
      </w:divBdr>
      <w:divsChild>
        <w:div w:id="2069107954">
          <w:marLeft w:val="0"/>
          <w:marRight w:val="0"/>
          <w:marTop w:val="0"/>
          <w:marBottom w:val="0"/>
          <w:divBdr>
            <w:top w:val="none" w:sz="0" w:space="0" w:color="auto"/>
            <w:left w:val="none" w:sz="0" w:space="0" w:color="auto"/>
            <w:bottom w:val="none" w:sz="0" w:space="0" w:color="auto"/>
            <w:right w:val="none" w:sz="0" w:space="0" w:color="auto"/>
          </w:divBdr>
          <w:divsChild>
            <w:div w:id="2107652320">
              <w:marLeft w:val="0"/>
              <w:marRight w:val="0"/>
              <w:marTop w:val="0"/>
              <w:marBottom w:val="0"/>
              <w:divBdr>
                <w:top w:val="none" w:sz="0" w:space="0" w:color="auto"/>
                <w:left w:val="none" w:sz="0" w:space="0" w:color="auto"/>
                <w:bottom w:val="none" w:sz="0" w:space="0" w:color="auto"/>
                <w:right w:val="none" w:sz="0" w:space="0" w:color="auto"/>
              </w:divBdr>
              <w:divsChild>
                <w:div w:id="4918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183">
      <w:bodyDiv w:val="1"/>
      <w:marLeft w:val="0"/>
      <w:marRight w:val="0"/>
      <w:marTop w:val="0"/>
      <w:marBottom w:val="0"/>
      <w:divBdr>
        <w:top w:val="none" w:sz="0" w:space="0" w:color="auto"/>
        <w:left w:val="none" w:sz="0" w:space="0" w:color="auto"/>
        <w:bottom w:val="none" w:sz="0" w:space="0" w:color="auto"/>
        <w:right w:val="none" w:sz="0" w:space="0" w:color="auto"/>
      </w:divBdr>
      <w:divsChild>
        <w:div w:id="1949970970">
          <w:marLeft w:val="446"/>
          <w:marRight w:val="0"/>
          <w:marTop w:val="86"/>
          <w:marBottom w:val="0"/>
          <w:divBdr>
            <w:top w:val="none" w:sz="0" w:space="0" w:color="auto"/>
            <w:left w:val="none" w:sz="0" w:space="0" w:color="auto"/>
            <w:bottom w:val="none" w:sz="0" w:space="0" w:color="auto"/>
            <w:right w:val="none" w:sz="0" w:space="0" w:color="auto"/>
          </w:divBdr>
        </w:div>
        <w:div w:id="757023643">
          <w:marLeft w:val="446"/>
          <w:marRight w:val="0"/>
          <w:marTop w:val="86"/>
          <w:marBottom w:val="0"/>
          <w:divBdr>
            <w:top w:val="none" w:sz="0" w:space="0" w:color="auto"/>
            <w:left w:val="none" w:sz="0" w:space="0" w:color="auto"/>
            <w:bottom w:val="none" w:sz="0" w:space="0" w:color="auto"/>
            <w:right w:val="none" w:sz="0" w:space="0" w:color="auto"/>
          </w:divBdr>
        </w:div>
      </w:divsChild>
    </w:div>
    <w:div w:id="689112653">
      <w:bodyDiv w:val="1"/>
      <w:marLeft w:val="0"/>
      <w:marRight w:val="0"/>
      <w:marTop w:val="0"/>
      <w:marBottom w:val="0"/>
      <w:divBdr>
        <w:top w:val="none" w:sz="0" w:space="0" w:color="auto"/>
        <w:left w:val="none" w:sz="0" w:space="0" w:color="auto"/>
        <w:bottom w:val="none" w:sz="0" w:space="0" w:color="auto"/>
        <w:right w:val="none" w:sz="0" w:space="0" w:color="auto"/>
      </w:divBdr>
    </w:div>
    <w:div w:id="740250380">
      <w:bodyDiv w:val="1"/>
      <w:marLeft w:val="0"/>
      <w:marRight w:val="0"/>
      <w:marTop w:val="0"/>
      <w:marBottom w:val="0"/>
      <w:divBdr>
        <w:top w:val="none" w:sz="0" w:space="0" w:color="auto"/>
        <w:left w:val="none" w:sz="0" w:space="0" w:color="auto"/>
        <w:bottom w:val="none" w:sz="0" w:space="0" w:color="auto"/>
        <w:right w:val="none" w:sz="0" w:space="0" w:color="auto"/>
      </w:divBdr>
      <w:divsChild>
        <w:div w:id="761730584">
          <w:marLeft w:val="0"/>
          <w:marRight w:val="0"/>
          <w:marTop w:val="0"/>
          <w:marBottom w:val="0"/>
          <w:divBdr>
            <w:top w:val="none" w:sz="0" w:space="0" w:color="auto"/>
            <w:left w:val="none" w:sz="0" w:space="0" w:color="auto"/>
            <w:bottom w:val="none" w:sz="0" w:space="0" w:color="auto"/>
            <w:right w:val="none" w:sz="0" w:space="0" w:color="auto"/>
          </w:divBdr>
          <w:divsChild>
            <w:div w:id="376123917">
              <w:marLeft w:val="0"/>
              <w:marRight w:val="0"/>
              <w:marTop w:val="0"/>
              <w:marBottom w:val="0"/>
              <w:divBdr>
                <w:top w:val="none" w:sz="0" w:space="0" w:color="auto"/>
                <w:left w:val="none" w:sz="0" w:space="0" w:color="auto"/>
                <w:bottom w:val="none" w:sz="0" w:space="0" w:color="auto"/>
                <w:right w:val="none" w:sz="0" w:space="0" w:color="auto"/>
              </w:divBdr>
              <w:divsChild>
                <w:div w:id="10949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6494">
      <w:bodyDiv w:val="1"/>
      <w:marLeft w:val="0"/>
      <w:marRight w:val="0"/>
      <w:marTop w:val="0"/>
      <w:marBottom w:val="0"/>
      <w:divBdr>
        <w:top w:val="none" w:sz="0" w:space="0" w:color="auto"/>
        <w:left w:val="none" w:sz="0" w:space="0" w:color="auto"/>
        <w:bottom w:val="none" w:sz="0" w:space="0" w:color="auto"/>
        <w:right w:val="none" w:sz="0" w:space="0" w:color="auto"/>
      </w:divBdr>
    </w:div>
    <w:div w:id="805506898">
      <w:bodyDiv w:val="1"/>
      <w:marLeft w:val="0"/>
      <w:marRight w:val="0"/>
      <w:marTop w:val="0"/>
      <w:marBottom w:val="0"/>
      <w:divBdr>
        <w:top w:val="none" w:sz="0" w:space="0" w:color="auto"/>
        <w:left w:val="none" w:sz="0" w:space="0" w:color="auto"/>
        <w:bottom w:val="none" w:sz="0" w:space="0" w:color="auto"/>
        <w:right w:val="none" w:sz="0" w:space="0" w:color="auto"/>
      </w:divBdr>
    </w:div>
    <w:div w:id="823159848">
      <w:bodyDiv w:val="1"/>
      <w:marLeft w:val="0"/>
      <w:marRight w:val="0"/>
      <w:marTop w:val="0"/>
      <w:marBottom w:val="0"/>
      <w:divBdr>
        <w:top w:val="none" w:sz="0" w:space="0" w:color="auto"/>
        <w:left w:val="none" w:sz="0" w:space="0" w:color="auto"/>
        <w:bottom w:val="none" w:sz="0" w:space="0" w:color="auto"/>
        <w:right w:val="none" w:sz="0" w:space="0" w:color="auto"/>
      </w:divBdr>
    </w:div>
    <w:div w:id="830026446">
      <w:bodyDiv w:val="1"/>
      <w:marLeft w:val="0"/>
      <w:marRight w:val="0"/>
      <w:marTop w:val="0"/>
      <w:marBottom w:val="0"/>
      <w:divBdr>
        <w:top w:val="none" w:sz="0" w:space="0" w:color="auto"/>
        <w:left w:val="none" w:sz="0" w:space="0" w:color="auto"/>
        <w:bottom w:val="none" w:sz="0" w:space="0" w:color="auto"/>
        <w:right w:val="none" w:sz="0" w:space="0" w:color="auto"/>
      </w:divBdr>
      <w:divsChild>
        <w:div w:id="1778911274">
          <w:marLeft w:val="0"/>
          <w:marRight w:val="0"/>
          <w:marTop w:val="0"/>
          <w:marBottom w:val="0"/>
          <w:divBdr>
            <w:top w:val="none" w:sz="0" w:space="0" w:color="auto"/>
            <w:left w:val="none" w:sz="0" w:space="0" w:color="auto"/>
            <w:bottom w:val="none" w:sz="0" w:space="0" w:color="auto"/>
            <w:right w:val="none" w:sz="0" w:space="0" w:color="auto"/>
          </w:divBdr>
          <w:divsChild>
            <w:div w:id="530387288">
              <w:marLeft w:val="0"/>
              <w:marRight w:val="0"/>
              <w:marTop w:val="0"/>
              <w:marBottom w:val="0"/>
              <w:divBdr>
                <w:top w:val="none" w:sz="0" w:space="0" w:color="auto"/>
                <w:left w:val="none" w:sz="0" w:space="0" w:color="auto"/>
                <w:bottom w:val="none" w:sz="0" w:space="0" w:color="auto"/>
                <w:right w:val="none" w:sz="0" w:space="0" w:color="auto"/>
              </w:divBdr>
              <w:divsChild>
                <w:div w:id="8194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61263">
      <w:bodyDiv w:val="1"/>
      <w:marLeft w:val="0"/>
      <w:marRight w:val="0"/>
      <w:marTop w:val="0"/>
      <w:marBottom w:val="0"/>
      <w:divBdr>
        <w:top w:val="none" w:sz="0" w:space="0" w:color="auto"/>
        <w:left w:val="none" w:sz="0" w:space="0" w:color="auto"/>
        <w:bottom w:val="none" w:sz="0" w:space="0" w:color="auto"/>
        <w:right w:val="none" w:sz="0" w:space="0" w:color="auto"/>
      </w:divBdr>
    </w:div>
    <w:div w:id="851918114">
      <w:bodyDiv w:val="1"/>
      <w:marLeft w:val="0"/>
      <w:marRight w:val="0"/>
      <w:marTop w:val="0"/>
      <w:marBottom w:val="0"/>
      <w:divBdr>
        <w:top w:val="none" w:sz="0" w:space="0" w:color="auto"/>
        <w:left w:val="none" w:sz="0" w:space="0" w:color="auto"/>
        <w:bottom w:val="none" w:sz="0" w:space="0" w:color="auto"/>
        <w:right w:val="none" w:sz="0" w:space="0" w:color="auto"/>
      </w:divBdr>
      <w:divsChild>
        <w:div w:id="298415627">
          <w:marLeft w:val="0"/>
          <w:marRight w:val="0"/>
          <w:marTop w:val="0"/>
          <w:marBottom w:val="0"/>
          <w:divBdr>
            <w:top w:val="none" w:sz="0" w:space="0" w:color="auto"/>
            <w:left w:val="none" w:sz="0" w:space="0" w:color="auto"/>
            <w:bottom w:val="none" w:sz="0" w:space="0" w:color="auto"/>
            <w:right w:val="none" w:sz="0" w:space="0" w:color="auto"/>
          </w:divBdr>
          <w:divsChild>
            <w:div w:id="909775890">
              <w:marLeft w:val="0"/>
              <w:marRight w:val="0"/>
              <w:marTop w:val="0"/>
              <w:marBottom w:val="0"/>
              <w:divBdr>
                <w:top w:val="none" w:sz="0" w:space="0" w:color="auto"/>
                <w:left w:val="none" w:sz="0" w:space="0" w:color="auto"/>
                <w:bottom w:val="none" w:sz="0" w:space="0" w:color="auto"/>
                <w:right w:val="none" w:sz="0" w:space="0" w:color="auto"/>
              </w:divBdr>
              <w:divsChild>
                <w:div w:id="5184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39840">
      <w:bodyDiv w:val="1"/>
      <w:marLeft w:val="0"/>
      <w:marRight w:val="0"/>
      <w:marTop w:val="0"/>
      <w:marBottom w:val="0"/>
      <w:divBdr>
        <w:top w:val="none" w:sz="0" w:space="0" w:color="auto"/>
        <w:left w:val="none" w:sz="0" w:space="0" w:color="auto"/>
        <w:bottom w:val="none" w:sz="0" w:space="0" w:color="auto"/>
        <w:right w:val="none" w:sz="0" w:space="0" w:color="auto"/>
      </w:divBdr>
    </w:div>
    <w:div w:id="875384858">
      <w:bodyDiv w:val="1"/>
      <w:marLeft w:val="0"/>
      <w:marRight w:val="0"/>
      <w:marTop w:val="0"/>
      <w:marBottom w:val="0"/>
      <w:divBdr>
        <w:top w:val="none" w:sz="0" w:space="0" w:color="auto"/>
        <w:left w:val="none" w:sz="0" w:space="0" w:color="auto"/>
        <w:bottom w:val="none" w:sz="0" w:space="0" w:color="auto"/>
        <w:right w:val="none" w:sz="0" w:space="0" w:color="auto"/>
      </w:divBdr>
      <w:divsChild>
        <w:div w:id="106852454">
          <w:marLeft w:val="0"/>
          <w:marRight w:val="0"/>
          <w:marTop w:val="0"/>
          <w:marBottom w:val="0"/>
          <w:divBdr>
            <w:top w:val="none" w:sz="0" w:space="0" w:color="auto"/>
            <w:left w:val="none" w:sz="0" w:space="0" w:color="auto"/>
            <w:bottom w:val="none" w:sz="0" w:space="0" w:color="auto"/>
            <w:right w:val="none" w:sz="0" w:space="0" w:color="auto"/>
          </w:divBdr>
          <w:divsChild>
            <w:div w:id="1002709118">
              <w:marLeft w:val="0"/>
              <w:marRight w:val="0"/>
              <w:marTop w:val="0"/>
              <w:marBottom w:val="0"/>
              <w:divBdr>
                <w:top w:val="none" w:sz="0" w:space="0" w:color="auto"/>
                <w:left w:val="none" w:sz="0" w:space="0" w:color="auto"/>
                <w:bottom w:val="none" w:sz="0" w:space="0" w:color="auto"/>
                <w:right w:val="none" w:sz="0" w:space="0" w:color="auto"/>
              </w:divBdr>
              <w:divsChild>
                <w:div w:id="19605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5187">
      <w:bodyDiv w:val="1"/>
      <w:marLeft w:val="0"/>
      <w:marRight w:val="0"/>
      <w:marTop w:val="0"/>
      <w:marBottom w:val="0"/>
      <w:divBdr>
        <w:top w:val="none" w:sz="0" w:space="0" w:color="auto"/>
        <w:left w:val="none" w:sz="0" w:space="0" w:color="auto"/>
        <w:bottom w:val="none" w:sz="0" w:space="0" w:color="auto"/>
        <w:right w:val="none" w:sz="0" w:space="0" w:color="auto"/>
      </w:divBdr>
      <w:divsChild>
        <w:div w:id="1459645522">
          <w:marLeft w:val="0"/>
          <w:marRight w:val="0"/>
          <w:marTop w:val="0"/>
          <w:marBottom w:val="0"/>
          <w:divBdr>
            <w:top w:val="none" w:sz="0" w:space="0" w:color="auto"/>
            <w:left w:val="none" w:sz="0" w:space="0" w:color="auto"/>
            <w:bottom w:val="none" w:sz="0" w:space="0" w:color="auto"/>
            <w:right w:val="none" w:sz="0" w:space="0" w:color="auto"/>
          </w:divBdr>
          <w:divsChild>
            <w:div w:id="317878846">
              <w:marLeft w:val="0"/>
              <w:marRight w:val="0"/>
              <w:marTop w:val="0"/>
              <w:marBottom w:val="0"/>
              <w:divBdr>
                <w:top w:val="none" w:sz="0" w:space="0" w:color="auto"/>
                <w:left w:val="none" w:sz="0" w:space="0" w:color="auto"/>
                <w:bottom w:val="none" w:sz="0" w:space="0" w:color="auto"/>
                <w:right w:val="none" w:sz="0" w:space="0" w:color="auto"/>
              </w:divBdr>
              <w:divsChild>
                <w:div w:id="434791558">
                  <w:marLeft w:val="0"/>
                  <w:marRight w:val="0"/>
                  <w:marTop w:val="0"/>
                  <w:marBottom w:val="0"/>
                  <w:divBdr>
                    <w:top w:val="none" w:sz="0" w:space="0" w:color="auto"/>
                    <w:left w:val="none" w:sz="0" w:space="0" w:color="auto"/>
                    <w:bottom w:val="none" w:sz="0" w:space="0" w:color="auto"/>
                    <w:right w:val="none" w:sz="0" w:space="0" w:color="auto"/>
                  </w:divBdr>
                  <w:divsChild>
                    <w:div w:id="4313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4971">
      <w:bodyDiv w:val="1"/>
      <w:marLeft w:val="0"/>
      <w:marRight w:val="0"/>
      <w:marTop w:val="0"/>
      <w:marBottom w:val="0"/>
      <w:divBdr>
        <w:top w:val="none" w:sz="0" w:space="0" w:color="auto"/>
        <w:left w:val="none" w:sz="0" w:space="0" w:color="auto"/>
        <w:bottom w:val="none" w:sz="0" w:space="0" w:color="auto"/>
        <w:right w:val="none" w:sz="0" w:space="0" w:color="auto"/>
      </w:divBdr>
      <w:divsChild>
        <w:div w:id="1383753533">
          <w:marLeft w:val="0"/>
          <w:marRight w:val="0"/>
          <w:marTop w:val="0"/>
          <w:marBottom w:val="0"/>
          <w:divBdr>
            <w:top w:val="none" w:sz="0" w:space="0" w:color="auto"/>
            <w:left w:val="none" w:sz="0" w:space="0" w:color="auto"/>
            <w:bottom w:val="none" w:sz="0" w:space="0" w:color="auto"/>
            <w:right w:val="none" w:sz="0" w:space="0" w:color="auto"/>
          </w:divBdr>
          <w:divsChild>
            <w:div w:id="735392917">
              <w:marLeft w:val="0"/>
              <w:marRight w:val="0"/>
              <w:marTop w:val="0"/>
              <w:marBottom w:val="0"/>
              <w:divBdr>
                <w:top w:val="none" w:sz="0" w:space="0" w:color="auto"/>
                <w:left w:val="none" w:sz="0" w:space="0" w:color="auto"/>
                <w:bottom w:val="none" w:sz="0" w:space="0" w:color="auto"/>
                <w:right w:val="none" w:sz="0" w:space="0" w:color="auto"/>
              </w:divBdr>
              <w:divsChild>
                <w:div w:id="262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2441">
      <w:bodyDiv w:val="1"/>
      <w:marLeft w:val="0"/>
      <w:marRight w:val="0"/>
      <w:marTop w:val="0"/>
      <w:marBottom w:val="0"/>
      <w:divBdr>
        <w:top w:val="none" w:sz="0" w:space="0" w:color="auto"/>
        <w:left w:val="none" w:sz="0" w:space="0" w:color="auto"/>
        <w:bottom w:val="none" w:sz="0" w:space="0" w:color="auto"/>
        <w:right w:val="none" w:sz="0" w:space="0" w:color="auto"/>
      </w:divBdr>
      <w:divsChild>
        <w:div w:id="289478062">
          <w:marLeft w:val="0"/>
          <w:marRight w:val="0"/>
          <w:marTop w:val="0"/>
          <w:marBottom w:val="0"/>
          <w:divBdr>
            <w:top w:val="none" w:sz="0" w:space="0" w:color="auto"/>
            <w:left w:val="none" w:sz="0" w:space="0" w:color="auto"/>
            <w:bottom w:val="none" w:sz="0" w:space="0" w:color="auto"/>
            <w:right w:val="none" w:sz="0" w:space="0" w:color="auto"/>
          </w:divBdr>
          <w:divsChild>
            <w:div w:id="616371892">
              <w:marLeft w:val="0"/>
              <w:marRight w:val="0"/>
              <w:marTop w:val="0"/>
              <w:marBottom w:val="0"/>
              <w:divBdr>
                <w:top w:val="none" w:sz="0" w:space="0" w:color="auto"/>
                <w:left w:val="none" w:sz="0" w:space="0" w:color="auto"/>
                <w:bottom w:val="none" w:sz="0" w:space="0" w:color="auto"/>
                <w:right w:val="none" w:sz="0" w:space="0" w:color="auto"/>
              </w:divBdr>
              <w:divsChild>
                <w:div w:id="1587151850">
                  <w:marLeft w:val="0"/>
                  <w:marRight w:val="0"/>
                  <w:marTop w:val="0"/>
                  <w:marBottom w:val="0"/>
                  <w:divBdr>
                    <w:top w:val="none" w:sz="0" w:space="0" w:color="auto"/>
                    <w:left w:val="none" w:sz="0" w:space="0" w:color="auto"/>
                    <w:bottom w:val="none" w:sz="0" w:space="0" w:color="auto"/>
                    <w:right w:val="none" w:sz="0" w:space="0" w:color="auto"/>
                  </w:divBdr>
                  <w:divsChild>
                    <w:div w:id="2572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99">
      <w:bodyDiv w:val="1"/>
      <w:marLeft w:val="0"/>
      <w:marRight w:val="0"/>
      <w:marTop w:val="0"/>
      <w:marBottom w:val="0"/>
      <w:divBdr>
        <w:top w:val="none" w:sz="0" w:space="0" w:color="auto"/>
        <w:left w:val="none" w:sz="0" w:space="0" w:color="auto"/>
        <w:bottom w:val="none" w:sz="0" w:space="0" w:color="auto"/>
        <w:right w:val="none" w:sz="0" w:space="0" w:color="auto"/>
      </w:divBdr>
      <w:divsChild>
        <w:div w:id="455830791">
          <w:marLeft w:val="0"/>
          <w:marRight w:val="0"/>
          <w:marTop w:val="0"/>
          <w:marBottom w:val="0"/>
          <w:divBdr>
            <w:top w:val="none" w:sz="0" w:space="0" w:color="auto"/>
            <w:left w:val="none" w:sz="0" w:space="0" w:color="auto"/>
            <w:bottom w:val="none" w:sz="0" w:space="0" w:color="auto"/>
            <w:right w:val="none" w:sz="0" w:space="0" w:color="auto"/>
          </w:divBdr>
          <w:divsChild>
            <w:div w:id="150144828">
              <w:marLeft w:val="0"/>
              <w:marRight w:val="0"/>
              <w:marTop w:val="0"/>
              <w:marBottom w:val="0"/>
              <w:divBdr>
                <w:top w:val="none" w:sz="0" w:space="0" w:color="auto"/>
                <w:left w:val="none" w:sz="0" w:space="0" w:color="auto"/>
                <w:bottom w:val="none" w:sz="0" w:space="0" w:color="auto"/>
                <w:right w:val="none" w:sz="0" w:space="0" w:color="auto"/>
              </w:divBdr>
              <w:divsChild>
                <w:div w:id="11341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5442">
      <w:bodyDiv w:val="1"/>
      <w:marLeft w:val="0"/>
      <w:marRight w:val="0"/>
      <w:marTop w:val="0"/>
      <w:marBottom w:val="0"/>
      <w:divBdr>
        <w:top w:val="none" w:sz="0" w:space="0" w:color="auto"/>
        <w:left w:val="none" w:sz="0" w:space="0" w:color="auto"/>
        <w:bottom w:val="none" w:sz="0" w:space="0" w:color="auto"/>
        <w:right w:val="none" w:sz="0" w:space="0" w:color="auto"/>
      </w:divBdr>
      <w:divsChild>
        <w:div w:id="427504715">
          <w:marLeft w:val="0"/>
          <w:marRight w:val="0"/>
          <w:marTop w:val="0"/>
          <w:marBottom w:val="0"/>
          <w:divBdr>
            <w:top w:val="none" w:sz="0" w:space="0" w:color="auto"/>
            <w:left w:val="none" w:sz="0" w:space="0" w:color="auto"/>
            <w:bottom w:val="none" w:sz="0" w:space="0" w:color="auto"/>
            <w:right w:val="none" w:sz="0" w:space="0" w:color="auto"/>
          </w:divBdr>
          <w:divsChild>
            <w:div w:id="909577731">
              <w:marLeft w:val="0"/>
              <w:marRight w:val="0"/>
              <w:marTop w:val="0"/>
              <w:marBottom w:val="0"/>
              <w:divBdr>
                <w:top w:val="none" w:sz="0" w:space="0" w:color="auto"/>
                <w:left w:val="none" w:sz="0" w:space="0" w:color="auto"/>
                <w:bottom w:val="none" w:sz="0" w:space="0" w:color="auto"/>
                <w:right w:val="none" w:sz="0" w:space="0" w:color="auto"/>
              </w:divBdr>
              <w:divsChild>
                <w:div w:id="14444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1793">
      <w:bodyDiv w:val="1"/>
      <w:marLeft w:val="0"/>
      <w:marRight w:val="0"/>
      <w:marTop w:val="0"/>
      <w:marBottom w:val="0"/>
      <w:divBdr>
        <w:top w:val="none" w:sz="0" w:space="0" w:color="auto"/>
        <w:left w:val="none" w:sz="0" w:space="0" w:color="auto"/>
        <w:bottom w:val="none" w:sz="0" w:space="0" w:color="auto"/>
        <w:right w:val="none" w:sz="0" w:space="0" w:color="auto"/>
      </w:divBdr>
    </w:div>
    <w:div w:id="1090082721">
      <w:bodyDiv w:val="1"/>
      <w:marLeft w:val="0"/>
      <w:marRight w:val="0"/>
      <w:marTop w:val="0"/>
      <w:marBottom w:val="0"/>
      <w:divBdr>
        <w:top w:val="none" w:sz="0" w:space="0" w:color="auto"/>
        <w:left w:val="none" w:sz="0" w:space="0" w:color="auto"/>
        <w:bottom w:val="none" w:sz="0" w:space="0" w:color="auto"/>
        <w:right w:val="none" w:sz="0" w:space="0" w:color="auto"/>
      </w:divBdr>
      <w:divsChild>
        <w:div w:id="1125582957">
          <w:marLeft w:val="0"/>
          <w:marRight w:val="0"/>
          <w:marTop w:val="0"/>
          <w:marBottom w:val="0"/>
          <w:divBdr>
            <w:top w:val="none" w:sz="0" w:space="0" w:color="auto"/>
            <w:left w:val="none" w:sz="0" w:space="0" w:color="auto"/>
            <w:bottom w:val="none" w:sz="0" w:space="0" w:color="auto"/>
            <w:right w:val="none" w:sz="0" w:space="0" w:color="auto"/>
          </w:divBdr>
          <w:divsChild>
            <w:div w:id="1890335553">
              <w:marLeft w:val="0"/>
              <w:marRight w:val="0"/>
              <w:marTop w:val="0"/>
              <w:marBottom w:val="0"/>
              <w:divBdr>
                <w:top w:val="none" w:sz="0" w:space="0" w:color="auto"/>
                <w:left w:val="none" w:sz="0" w:space="0" w:color="auto"/>
                <w:bottom w:val="none" w:sz="0" w:space="0" w:color="auto"/>
                <w:right w:val="none" w:sz="0" w:space="0" w:color="auto"/>
              </w:divBdr>
              <w:divsChild>
                <w:div w:id="470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5618">
      <w:bodyDiv w:val="1"/>
      <w:marLeft w:val="0"/>
      <w:marRight w:val="0"/>
      <w:marTop w:val="0"/>
      <w:marBottom w:val="0"/>
      <w:divBdr>
        <w:top w:val="none" w:sz="0" w:space="0" w:color="auto"/>
        <w:left w:val="none" w:sz="0" w:space="0" w:color="auto"/>
        <w:bottom w:val="none" w:sz="0" w:space="0" w:color="auto"/>
        <w:right w:val="none" w:sz="0" w:space="0" w:color="auto"/>
      </w:divBdr>
    </w:div>
    <w:div w:id="1111629947">
      <w:bodyDiv w:val="1"/>
      <w:marLeft w:val="0"/>
      <w:marRight w:val="0"/>
      <w:marTop w:val="0"/>
      <w:marBottom w:val="0"/>
      <w:divBdr>
        <w:top w:val="none" w:sz="0" w:space="0" w:color="auto"/>
        <w:left w:val="none" w:sz="0" w:space="0" w:color="auto"/>
        <w:bottom w:val="none" w:sz="0" w:space="0" w:color="auto"/>
        <w:right w:val="none" w:sz="0" w:space="0" w:color="auto"/>
      </w:divBdr>
      <w:divsChild>
        <w:div w:id="1060011322">
          <w:marLeft w:val="0"/>
          <w:marRight w:val="0"/>
          <w:marTop w:val="0"/>
          <w:marBottom w:val="0"/>
          <w:divBdr>
            <w:top w:val="none" w:sz="0" w:space="0" w:color="auto"/>
            <w:left w:val="none" w:sz="0" w:space="0" w:color="auto"/>
            <w:bottom w:val="none" w:sz="0" w:space="0" w:color="auto"/>
            <w:right w:val="none" w:sz="0" w:space="0" w:color="auto"/>
          </w:divBdr>
          <w:divsChild>
            <w:div w:id="1617443222">
              <w:marLeft w:val="0"/>
              <w:marRight w:val="0"/>
              <w:marTop w:val="0"/>
              <w:marBottom w:val="0"/>
              <w:divBdr>
                <w:top w:val="none" w:sz="0" w:space="0" w:color="auto"/>
                <w:left w:val="none" w:sz="0" w:space="0" w:color="auto"/>
                <w:bottom w:val="none" w:sz="0" w:space="0" w:color="auto"/>
                <w:right w:val="none" w:sz="0" w:space="0" w:color="auto"/>
              </w:divBdr>
              <w:divsChild>
                <w:div w:id="1856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42335">
      <w:bodyDiv w:val="1"/>
      <w:marLeft w:val="0"/>
      <w:marRight w:val="0"/>
      <w:marTop w:val="0"/>
      <w:marBottom w:val="0"/>
      <w:divBdr>
        <w:top w:val="none" w:sz="0" w:space="0" w:color="auto"/>
        <w:left w:val="none" w:sz="0" w:space="0" w:color="auto"/>
        <w:bottom w:val="none" w:sz="0" w:space="0" w:color="auto"/>
        <w:right w:val="none" w:sz="0" w:space="0" w:color="auto"/>
      </w:divBdr>
    </w:div>
    <w:div w:id="1151480049">
      <w:bodyDiv w:val="1"/>
      <w:marLeft w:val="0"/>
      <w:marRight w:val="0"/>
      <w:marTop w:val="0"/>
      <w:marBottom w:val="0"/>
      <w:divBdr>
        <w:top w:val="none" w:sz="0" w:space="0" w:color="auto"/>
        <w:left w:val="none" w:sz="0" w:space="0" w:color="auto"/>
        <w:bottom w:val="none" w:sz="0" w:space="0" w:color="auto"/>
        <w:right w:val="none" w:sz="0" w:space="0" w:color="auto"/>
      </w:divBdr>
      <w:divsChild>
        <w:div w:id="1835099779">
          <w:marLeft w:val="0"/>
          <w:marRight w:val="0"/>
          <w:marTop w:val="0"/>
          <w:marBottom w:val="0"/>
          <w:divBdr>
            <w:top w:val="none" w:sz="0" w:space="0" w:color="auto"/>
            <w:left w:val="none" w:sz="0" w:space="0" w:color="auto"/>
            <w:bottom w:val="none" w:sz="0" w:space="0" w:color="auto"/>
            <w:right w:val="none" w:sz="0" w:space="0" w:color="auto"/>
          </w:divBdr>
          <w:divsChild>
            <w:div w:id="2068215649">
              <w:marLeft w:val="0"/>
              <w:marRight w:val="0"/>
              <w:marTop w:val="0"/>
              <w:marBottom w:val="0"/>
              <w:divBdr>
                <w:top w:val="none" w:sz="0" w:space="0" w:color="auto"/>
                <w:left w:val="none" w:sz="0" w:space="0" w:color="auto"/>
                <w:bottom w:val="none" w:sz="0" w:space="0" w:color="auto"/>
                <w:right w:val="none" w:sz="0" w:space="0" w:color="auto"/>
              </w:divBdr>
              <w:divsChild>
                <w:div w:id="16721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8522">
      <w:bodyDiv w:val="1"/>
      <w:marLeft w:val="0"/>
      <w:marRight w:val="0"/>
      <w:marTop w:val="0"/>
      <w:marBottom w:val="0"/>
      <w:divBdr>
        <w:top w:val="none" w:sz="0" w:space="0" w:color="auto"/>
        <w:left w:val="none" w:sz="0" w:space="0" w:color="auto"/>
        <w:bottom w:val="none" w:sz="0" w:space="0" w:color="auto"/>
        <w:right w:val="none" w:sz="0" w:space="0" w:color="auto"/>
      </w:divBdr>
      <w:divsChild>
        <w:div w:id="1460535511">
          <w:marLeft w:val="0"/>
          <w:marRight w:val="0"/>
          <w:marTop w:val="0"/>
          <w:marBottom w:val="0"/>
          <w:divBdr>
            <w:top w:val="none" w:sz="0" w:space="0" w:color="auto"/>
            <w:left w:val="none" w:sz="0" w:space="0" w:color="auto"/>
            <w:bottom w:val="none" w:sz="0" w:space="0" w:color="auto"/>
            <w:right w:val="none" w:sz="0" w:space="0" w:color="auto"/>
          </w:divBdr>
          <w:divsChild>
            <w:div w:id="750129139">
              <w:marLeft w:val="0"/>
              <w:marRight w:val="0"/>
              <w:marTop w:val="0"/>
              <w:marBottom w:val="0"/>
              <w:divBdr>
                <w:top w:val="none" w:sz="0" w:space="0" w:color="auto"/>
                <w:left w:val="none" w:sz="0" w:space="0" w:color="auto"/>
                <w:bottom w:val="none" w:sz="0" w:space="0" w:color="auto"/>
                <w:right w:val="none" w:sz="0" w:space="0" w:color="auto"/>
              </w:divBdr>
              <w:divsChild>
                <w:div w:id="329601701">
                  <w:marLeft w:val="0"/>
                  <w:marRight w:val="0"/>
                  <w:marTop w:val="0"/>
                  <w:marBottom w:val="0"/>
                  <w:divBdr>
                    <w:top w:val="none" w:sz="0" w:space="0" w:color="auto"/>
                    <w:left w:val="none" w:sz="0" w:space="0" w:color="auto"/>
                    <w:bottom w:val="none" w:sz="0" w:space="0" w:color="auto"/>
                    <w:right w:val="none" w:sz="0" w:space="0" w:color="auto"/>
                  </w:divBdr>
                  <w:divsChild>
                    <w:div w:id="1924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5016">
      <w:bodyDiv w:val="1"/>
      <w:marLeft w:val="0"/>
      <w:marRight w:val="0"/>
      <w:marTop w:val="0"/>
      <w:marBottom w:val="0"/>
      <w:divBdr>
        <w:top w:val="none" w:sz="0" w:space="0" w:color="auto"/>
        <w:left w:val="none" w:sz="0" w:space="0" w:color="auto"/>
        <w:bottom w:val="none" w:sz="0" w:space="0" w:color="auto"/>
        <w:right w:val="none" w:sz="0" w:space="0" w:color="auto"/>
      </w:divBdr>
      <w:divsChild>
        <w:div w:id="303313849">
          <w:marLeft w:val="0"/>
          <w:marRight w:val="0"/>
          <w:marTop w:val="0"/>
          <w:marBottom w:val="0"/>
          <w:divBdr>
            <w:top w:val="none" w:sz="0" w:space="0" w:color="auto"/>
            <w:left w:val="none" w:sz="0" w:space="0" w:color="auto"/>
            <w:bottom w:val="none" w:sz="0" w:space="0" w:color="auto"/>
            <w:right w:val="none" w:sz="0" w:space="0" w:color="auto"/>
          </w:divBdr>
          <w:divsChild>
            <w:div w:id="1744596523">
              <w:marLeft w:val="0"/>
              <w:marRight w:val="0"/>
              <w:marTop w:val="0"/>
              <w:marBottom w:val="0"/>
              <w:divBdr>
                <w:top w:val="none" w:sz="0" w:space="0" w:color="auto"/>
                <w:left w:val="none" w:sz="0" w:space="0" w:color="auto"/>
                <w:bottom w:val="none" w:sz="0" w:space="0" w:color="auto"/>
                <w:right w:val="none" w:sz="0" w:space="0" w:color="auto"/>
              </w:divBdr>
              <w:divsChild>
                <w:div w:id="1878158917">
                  <w:marLeft w:val="0"/>
                  <w:marRight w:val="0"/>
                  <w:marTop w:val="0"/>
                  <w:marBottom w:val="0"/>
                  <w:divBdr>
                    <w:top w:val="none" w:sz="0" w:space="0" w:color="auto"/>
                    <w:left w:val="none" w:sz="0" w:space="0" w:color="auto"/>
                    <w:bottom w:val="none" w:sz="0" w:space="0" w:color="auto"/>
                    <w:right w:val="none" w:sz="0" w:space="0" w:color="auto"/>
                  </w:divBdr>
                  <w:divsChild>
                    <w:div w:id="1121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2058">
      <w:bodyDiv w:val="1"/>
      <w:marLeft w:val="0"/>
      <w:marRight w:val="0"/>
      <w:marTop w:val="0"/>
      <w:marBottom w:val="0"/>
      <w:divBdr>
        <w:top w:val="none" w:sz="0" w:space="0" w:color="auto"/>
        <w:left w:val="none" w:sz="0" w:space="0" w:color="auto"/>
        <w:bottom w:val="none" w:sz="0" w:space="0" w:color="auto"/>
        <w:right w:val="none" w:sz="0" w:space="0" w:color="auto"/>
      </w:divBdr>
    </w:div>
    <w:div w:id="1373387883">
      <w:bodyDiv w:val="1"/>
      <w:marLeft w:val="0"/>
      <w:marRight w:val="0"/>
      <w:marTop w:val="0"/>
      <w:marBottom w:val="0"/>
      <w:divBdr>
        <w:top w:val="none" w:sz="0" w:space="0" w:color="auto"/>
        <w:left w:val="none" w:sz="0" w:space="0" w:color="auto"/>
        <w:bottom w:val="none" w:sz="0" w:space="0" w:color="auto"/>
        <w:right w:val="none" w:sz="0" w:space="0" w:color="auto"/>
      </w:divBdr>
      <w:divsChild>
        <w:div w:id="391779605">
          <w:marLeft w:val="0"/>
          <w:marRight w:val="0"/>
          <w:marTop w:val="0"/>
          <w:marBottom w:val="0"/>
          <w:divBdr>
            <w:top w:val="none" w:sz="0" w:space="0" w:color="auto"/>
            <w:left w:val="none" w:sz="0" w:space="0" w:color="auto"/>
            <w:bottom w:val="none" w:sz="0" w:space="0" w:color="auto"/>
            <w:right w:val="none" w:sz="0" w:space="0" w:color="auto"/>
          </w:divBdr>
          <w:divsChild>
            <w:div w:id="1478718559">
              <w:marLeft w:val="0"/>
              <w:marRight w:val="0"/>
              <w:marTop w:val="0"/>
              <w:marBottom w:val="0"/>
              <w:divBdr>
                <w:top w:val="none" w:sz="0" w:space="0" w:color="auto"/>
                <w:left w:val="none" w:sz="0" w:space="0" w:color="auto"/>
                <w:bottom w:val="none" w:sz="0" w:space="0" w:color="auto"/>
                <w:right w:val="none" w:sz="0" w:space="0" w:color="auto"/>
              </w:divBdr>
              <w:divsChild>
                <w:div w:id="19233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3929">
      <w:bodyDiv w:val="1"/>
      <w:marLeft w:val="0"/>
      <w:marRight w:val="0"/>
      <w:marTop w:val="0"/>
      <w:marBottom w:val="0"/>
      <w:divBdr>
        <w:top w:val="none" w:sz="0" w:space="0" w:color="auto"/>
        <w:left w:val="none" w:sz="0" w:space="0" w:color="auto"/>
        <w:bottom w:val="none" w:sz="0" w:space="0" w:color="auto"/>
        <w:right w:val="none" w:sz="0" w:space="0" w:color="auto"/>
      </w:divBdr>
      <w:divsChild>
        <w:div w:id="1326129733">
          <w:marLeft w:val="0"/>
          <w:marRight w:val="0"/>
          <w:marTop w:val="0"/>
          <w:marBottom w:val="0"/>
          <w:divBdr>
            <w:top w:val="none" w:sz="0" w:space="0" w:color="auto"/>
            <w:left w:val="none" w:sz="0" w:space="0" w:color="auto"/>
            <w:bottom w:val="none" w:sz="0" w:space="0" w:color="auto"/>
            <w:right w:val="none" w:sz="0" w:space="0" w:color="auto"/>
          </w:divBdr>
          <w:divsChild>
            <w:div w:id="974675146">
              <w:marLeft w:val="0"/>
              <w:marRight w:val="0"/>
              <w:marTop w:val="0"/>
              <w:marBottom w:val="0"/>
              <w:divBdr>
                <w:top w:val="none" w:sz="0" w:space="0" w:color="auto"/>
                <w:left w:val="none" w:sz="0" w:space="0" w:color="auto"/>
                <w:bottom w:val="none" w:sz="0" w:space="0" w:color="auto"/>
                <w:right w:val="none" w:sz="0" w:space="0" w:color="auto"/>
              </w:divBdr>
              <w:divsChild>
                <w:div w:id="18442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0505">
      <w:bodyDiv w:val="1"/>
      <w:marLeft w:val="0"/>
      <w:marRight w:val="0"/>
      <w:marTop w:val="0"/>
      <w:marBottom w:val="0"/>
      <w:divBdr>
        <w:top w:val="none" w:sz="0" w:space="0" w:color="auto"/>
        <w:left w:val="none" w:sz="0" w:space="0" w:color="auto"/>
        <w:bottom w:val="none" w:sz="0" w:space="0" w:color="auto"/>
        <w:right w:val="none" w:sz="0" w:space="0" w:color="auto"/>
      </w:divBdr>
    </w:div>
    <w:div w:id="1471745188">
      <w:bodyDiv w:val="1"/>
      <w:marLeft w:val="0"/>
      <w:marRight w:val="0"/>
      <w:marTop w:val="0"/>
      <w:marBottom w:val="0"/>
      <w:divBdr>
        <w:top w:val="none" w:sz="0" w:space="0" w:color="auto"/>
        <w:left w:val="none" w:sz="0" w:space="0" w:color="auto"/>
        <w:bottom w:val="none" w:sz="0" w:space="0" w:color="auto"/>
        <w:right w:val="none" w:sz="0" w:space="0" w:color="auto"/>
      </w:divBdr>
    </w:div>
    <w:div w:id="1545488147">
      <w:bodyDiv w:val="1"/>
      <w:marLeft w:val="0"/>
      <w:marRight w:val="0"/>
      <w:marTop w:val="0"/>
      <w:marBottom w:val="0"/>
      <w:divBdr>
        <w:top w:val="none" w:sz="0" w:space="0" w:color="auto"/>
        <w:left w:val="none" w:sz="0" w:space="0" w:color="auto"/>
        <w:bottom w:val="none" w:sz="0" w:space="0" w:color="auto"/>
        <w:right w:val="none" w:sz="0" w:space="0" w:color="auto"/>
      </w:divBdr>
    </w:div>
    <w:div w:id="1556812401">
      <w:bodyDiv w:val="1"/>
      <w:marLeft w:val="0"/>
      <w:marRight w:val="0"/>
      <w:marTop w:val="0"/>
      <w:marBottom w:val="0"/>
      <w:divBdr>
        <w:top w:val="none" w:sz="0" w:space="0" w:color="auto"/>
        <w:left w:val="none" w:sz="0" w:space="0" w:color="auto"/>
        <w:bottom w:val="none" w:sz="0" w:space="0" w:color="auto"/>
        <w:right w:val="none" w:sz="0" w:space="0" w:color="auto"/>
      </w:divBdr>
    </w:div>
    <w:div w:id="1591430093">
      <w:bodyDiv w:val="1"/>
      <w:marLeft w:val="0"/>
      <w:marRight w:val="0"/>
      <w:marTop w:val="0"/>
      <w:marBottom w:val="0"/>
      <w:divBdr>
        <w:top w:val="none" w:sz="0" w:space="0" w:color="auto"/>
        <w:left w:val="none" w:sz="0" w:space="0" w:color="auto"/>
        <w:bottom w:val="none" w:sz="0" w:space="0" w:color="auto"/>
        <w:right w:val="none" w:sz="0" w:space="0" w:color="auto"/>
      </w:divBdr>
    </w:div>
    <w:div w:id="1605841864">
      <w:bodyDiv w:val="1"/>
      <w:marLeft w:val="0"/>
      <w:marRight w:val="0"/>
      <w:marTop w:val="0"/>
      <w:marBottom w:val="0"/>
      <w:divBdr>
        <w:top w:val="none" w:sz="0" w:space="0" w:color="auto"/>
        <w:left w:val="none" w:sz="0" w:space="0" w:color="auto"/>
        <w:bottom w:val="none" w:sz="0" w:space="0" w:color="auto"/>
        <w:right w:val="none" w:sz="0" w:space="0" w:color="auto"/>
      </w:divBdr>
      <w:divsChild>
        <w:div w:id="256136123">
          <w:marLeft w:val="0"/>
          <w:marRight w:val="0"/>
          <w:marTop w:val="0"/>
          <w:marBottom w:val="0"/>
          <w:divBdr>
            <w:top w:val="none" w:sz="0" w:space="0" w:color="auto"/>
            <w:left w:val="none" w:sz="0" w:space="0" w:color="auto"/>
            <w:bottom w:val="none" w:sz="0" w:space="0" w:color="auto"/>
            <w:right w:val="none" w:sz="0" w:space="0" w:color="auto"/>
          </w:divBdr>
          <w:divsChild>
            <w:div w:id="552544696">
              <w:marLeft w:val="0"/>
              <w:marRight w:val="0"/>
              <w:marTop w:val="0"/>
              <w:marBottom w:val="0"/>
              <w:divBdr>
                <w:top w:val="none" w:sz="0" w:space="0" w:color="auto"/>
                <w:left w:val="none" w:sz="0" w:space="0" w:color="auto"/>
                <w:bottom w:val="none" w:sz="0" w:space="0" w:color="auto"/>
                <w:right w:val="none" w:sz="0" w:space="0" w:color="auto"/>
              </w:divBdr>
              <w:divsChild>
                <w:div w:id="67577306">
                  <w:marLeft w:val="0"/>
                  <w:marRight w:val="0"/>
                  <w:marTop w:val="0"/>
                  <w:marBottom w:val="0"/>
                  <w:divBdr>
                    <w:top w:val="none" w:sz="0" w:space="0" w:color="auto"/>
                    <w:left w:val="none" w:sz="0" w:space="0" w:color="auto"/>
                    <w:bottom w:val="none" w:sz="0" w:space="0" w:color="auto"/>
                    <w:right w:val="none" w:sz="0" w:space="0" w:color="auto"/>
                  </w:divBdr>
                  <w:divsChild>
                    <w:div w:id="21452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4714">
      <w:bodyDiv w:val="1"/>
      <w:marLeft w:val="0"/>
      <w:marRight w:val="0"/>
      <w:marTop w:val="0"/>
      <w:marBottom w:val="0"/>
      <w:divBdr>
        <w:top w:val="none" w:sz="0" w:space="0" w:color="auto"/>
        <w:left w:val="none" w:sz="0" w:space="0" w:color="auto"/>
        <w:bottom w:val="none" w:sz="0" w:space="0" w:color="auto"/>
        <w:right w:val="none" w:sz="0" w:space="0" w:color="auto"/>
      </w:divBdr>
      <w:divsChild>
        <w:div w:id="1949392538">
          <w:marLeft w:val="0"/>
          <w:marRight w:val="0"/>
          <w:marTop w:val="0"/>
          <w:marBottom w:val="0"/>
          <w:divBdr>
            <w:top w:val="none" w:sz="0" w:space="0" w:color="auto"/>
            <w:left w:val="none" w:sz="0" w:space="0" w:color="auto"/>
            <w:bottom w:val="none" w:sz="0" w:space="0" w:color="auto"/>
            <w:right w:val="none" w:sz="0" w:space="0" w:color="auto"/>
          </w:divBdr>
          <w:divsChild>
            <w:div w:id="992677558">
              <w:marLeft w:val="0"/>
              <w:marRight w:val="0"/>
              <w:marTop w:val="0"/>
              <w:marBottom w:val="0"/>
              <w:divBdr>
                <w:top w:val="none" w:sz="0" w:space="0" w:color="auto"/>
                <w:left w:val="none" w:sz="0" w:space="0" w:color="auto"/>
                <w:bottom w:val="none" w:sz="0" w:space="0" w:color="auto"/>
                <w:right w:val="none" w:sz="0" w:space="0" w:color="auto"/>
              </w:divBdr>
              <w:divsChild>
                <w:div w:id="20221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6476">
      <w:bodyDiv w:val="1"/>
      <w:marLeft w:val="0"/>
      <w:marRight w:val="0"/>
      <w:marTop w:val="0"/>
      <w:marBottom w:val="0"/>
      <w:divBdr>
        <w:top w:val="none" w:sz="0" w:space="0" w:color="auto"/>
        <w:left w:val="none" w:sz="0" w:space="0" w:color="auto"/>
        <w:bottom w:val="none" w:sz="0" w:space="0" w:color="auto"/>
        <w:right w:val="none" w:sz="0" w:space="0" w:color="auto"/>
      </w:divBdr>
      <w:divsChild>
        <w:div w:id="1828782186">
          <w:marLeft w:val="0"/>
          <w:marRight w:val="0"/>
          <w:marTop w:val="0"/>
          <w:marBottom w:val="0"/>
          <w:divBdr>
            <w:top w:val="none" w:sz="0" w:space="0" w:color="auto"/>
            <w:left w:val="none" w:sz="0" w:space="0" w:color="auto"/>
            <w:bottom w:val="none" w:sz="0" w:space="0" w:color="auto"/>
            <w:right w:val="none" w:sz="0" w:space="0" w:color="auto"/>
          </w:divBdr>
          <w:divsChild>
            <w:div w:id="338579027">
              <w:marLeft w:val="0"/>
              <w:marRight w:val="0"/>
              <w:marTop w:val="0"/>
              <w:marBottom w:val="0"/>
              <w:divBdr>
                <w:top w:val="none" w:sz="0" w:space="0" w:color="auto"/>
                <w:left w:val="none" w:sz="0" w:space="0" w:color="auto"/>
                <w:bottom w:val="none" w:sz="0" w:space="0" w:color="auto"/>
                <w:right w:val="none" w:sz="0" w:space="0" w:color="auto"/>
              </w:divBdr>
              <w:divsChild>
                <w:div w:id="16228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9977">
      <w:bodyDiv w:val="1"/>
      <w:marLeft w:val="0"/>
      <w:marRight w:val="0"/>
      <w:marTop w:val="0"/>
      <w:marBottom w:val="0"/>
      <w:divBdr>
        <w:top w:val="none" w:sz="0" w:space="0" w:color="auto"/>
        <w:left w:val="none" w:sz="0" w:space="0" w:color="auto"/>
        <w:bottom w:val="none" w:sz="0" w:space="0" w:color="auto"/>
        <w:right w:val="none" w:sz="0" w:space="0" w:color="auto"/>
      </w:divBdr>
    </w:div>
    <w:div w:id="1693532988">
      <w:bodyDiv w:val="1"/>
      <w:marLeft w:val="0"/>
      <w:marRight w:val="0"/>
      <w:marTop w:val="0"/>
      <w:marBottom w:val="0"/>
      <w:divBdr>
        <w:top w:val="none" w:sz="0" w:space="0" w:color="auto"/>
        <w:left w:val="none" w:sz="0" w:space="0" w:color="auto"/>
        <w:bottom w:val="none" w:sz="0" w:space="0" w:color="auto"/>
        <w:right w:val="none" w:sz="0" w:space="0" w:color="auto"/>
      </w:divBdr>
      <w:divsChild>
        <w:div w:id="1467158815">
          <w:marLeft w:val="0"/>
          <w:marRight w:val="0"/>
          <w:marTop w:val="100"/>
          <w:marBottom w:val="0"/>
          <w:divBdr>
            <w:top w:val="none" w:sz="0" w:space="0" w:color="auto"/>
            <w:left w:val="none" w:sz="0" w:space="0" w:color="auto"/>
            <w:bottom w:val="none" w:sz="0" w:space="0" w:color="auto"/>
            <w:right w:val="none" w:sz="0" w:space="0" w:color="auto"/>
          </w:divBdr>
          <w:divsChild>
            <w:div w:id="859665345">
              <w:marLeft w:val="0"/>
              <w:marRight w:val="0"/>
              <w:marTop w:val="60"/>
              <w:marBottom w:val="0"/>
              <w:divBdr>
                <w:top w:val="none" w:sz="0" w:space="0" w:color="auto"/>
                <w:left w:val="none" w:sz="0" w:space="0" w:color="auto"/>
                <w:bottom w:val="none" w:sz="0" w:space="0" w:color="auto"/>
                <w:right w:val="none" w:sz="0" w:space="0" w:color="auto"/>
              </w:divBdr>
            </w:div>
          </w:divsChild>
        </w:div>
        <w:div w:id="567346389">
          <w:marLeft w:val="0"/>
          <w:marRight w:val="0"/>
          <w:marTop w:val="0"/>
          <w:marBottom w:val="0"/>
          <w:divBdr>
            <w:top w:val="none" w:sz="0" w:space="0" w:color="auto"/>
            <w:left w:val="none" w:sz="0" w:space="0" w:color="auto"/>
            <w:bottom w:val="none" w:sz="0" w:space="0" w:color="auto"/>
            <w:right w:val="none" w:sz="0" w:space="0" w:color="auto"/>
          </w:divBdr>
          <w:divsChild>
            <w:div w:id="7876685">
              <w:marLeft w:val="0"/>
              <w:marRight w:val="0"/>
              <w:marTop w:val="0"/>
              <w:marBottom w:val="0"/>
              <w:divBdr>
                <w:top w:val="none" w:sz="0" w:space="0" w:color="auto"/>
                <w:left w:val="none" w:sz="0" w:space="0" w:color="auto"/>
                <w:bottom w:val="none" w:sz="0" w:space="0" w:color="auto"/>
                <w:right w:val="none" w:sz="0" w:space="0" w:color="auto"/>
              </w:divBdr>
              <w:divsChild>
                <w:div w:id="12803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33885">
      <w:bodyDiv w:val="1"/>
      <w:marLeft w:val="0"/>
      <w:marRight w:val="0"/>
      <w:marTop w:val="0"/>
      <w:marBottom w:val="0"/>
      <w:divBdr>
        <w:top w:val="none" w:sz="0" w:space="0" w:color="auto"/>
        <w:left w:val="none" w:sz="0" w:space="0" w:color="auto"/>
        <w:bottom w:val="none" w:sz="0" w:space="0" w:color="auto"/>
        <w:right w:val="none" w:sz="0" w:space="0" w:color="auto"/>
      </w:divBdr>
    </w:div>
    <w:div w:id="1743869404">
      <w:bodyDiv w:val="1"/>
      <w:marLeft w:val="0"/>
      <w:marRight w:val="0"/>
      <w:marTop w:val="0"/>
      <w:marBottom w:val="0"/>
      <w:divBdr>
        <w:top w:val="none" w:sz="0" w:space="0" w:color="auto"/>
        <w:left w:val="none" w:sz="0" w:space="0" w:color="auto"/>
        <w:bottom w:val="none" w:sz="0" w:space="0" w:color="auto"/>
        <w:right w:val="none" w:sz="0" w:space="0" w:color="auto"/>
      </w:divBdr>
      <w:divsChild>
        <w:div w:id="39941501">
          <w:marLeft w:val="0"/>
          <w:marRight w:val="0"/>
          <w:marTop w:val="0"/>
          <w:marBottom w:val="0"/>
          <w:divBdr>
            <w:top w:val="none" w:sz="0" w:space="0" w:color="auto"/>
            <w:left w:val="none" w:sz="0" w:space="0" w:color="auto"/>
            <w:bottom w:val="none" w:sz="0" w:space="0" w:color="auto"/>
            <w:right w:val="none" w:sz="0" w:space="0" w:color="auto"/>
          </w:divBdr>
          <w:divsChild>
            <w:div w:id="633490881">
              <w:marLeft w:val="0"/>
              <w:marRight w:val="0"/>
              <w:marTop w:val="0"/>
              <w:marBottom w:val="0"/>
              <w:divBdr>
                <w:top w:val="none" w:sz="0" w:space="0" w:color="auto"/>
                <w:left w:val="none" w:sz="0" w:space="0" w:color="auto"/>
                <w:bottom w:val="none" w:sz="0" w:space="0" w:color="auto"/>
                <w:right w:val="none" w:sz="0" w:space="0" w:color="auto"/>
              </w:divBdr>
              <w:divsChild>
                <w:div w:id="1383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69563">
      <w:bodyDiv w:val="1"/>
      <w:marLeft w:val="0"/>
      <w:marRight w:val="0"/>
      <w:marTop w:val="0"/>
      <w:marBottom w:val="0"/>
      <w:divBdr>
        <w:top w:val="none" w:sz="0" w:space="0" w:color="auto"/>
        <w:left w:val="none" w:sz="0" w:space="0" w:color="auto"/>
        <w:bottom w:val="none" w:sz="0" w:space="0" w:color="auto"/>
        <w:right w:val="none" w:sz="0" w:space="0" w:color="auto"/>
      </w:divBdr>
      <w:divsChild>
        <w:div w:id="1616517308">
          <w:marLeft w:val="0"/>
          <w:marRight w:val="0"/>
          <w:marTop w:val="0"/>
          <w:marBottom w:val="0"/>
          <w:divBdr>
            <w:top w:val="none" w:sz="0" w:space="0" w:color="auto"/>
            <w:left w:val="none" w:sz="0" w:space="0" w:color="auto"/>
            <w:bottom w:val="none" w:sz="0" w:space="0" w:color="auto"/>
            <w:right w:val="none" w:sz="0" w:space="0" w:color="auto"/>
          </w:divBdr>
          <w:divsChild>
            <w:div w:id="14769187">
              <w:marLeft w:val="0"/>
              <w:marRight w:val="0"/>
              <w:marTop w:val="0"/>
              <w:marBottom w:val="0"/>
              <w:divBdr>
                <w:top w:val="none" w:sz="0" w:space="0" w:color="auto"/>
                <w:left w:val="none" w:sz="0" w:space="0" w:color="auto"/>
                <w:bottom w:val="none" w:sz="0" w:space="0" w:color="auto"/>
                <w:right w:val="none" w:sz="0" w:space="0" w:color="auto"/>
              </w:divBdr>
              <w:divsChild>
                <w:div w:id="15916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3822">
      <w:bodyDiv w:val="1"/>
      <w:marLeft w:val="0"/>
      <w:marRight w:val="0"/>
      <w:marTop w:val="0"/>
      <w:marBottom w:val="0"/>
      <w:divBdr>
        <w:top w:val="none" w:sz="0" w:space="0" w:color="auto"/>
        <w:left w:val="none" w:sz="0" w:space="0" w:color="auto"/>
        <w:bottom w:val="none" w:sz="0" w:space="0" w:color="auto"/>
        <w:right w:val="none" w:sz="0" w:space="0" w:color="auto"/>
      </w:divBdr>
      <w:divsChild>
        <w:div w:id="477263756">
          <w:marLeft w:val="0"/>
          <w:marRight w:val="0"/>
          <w:marTop w:val="0"/>
          <w:marBottom w:val="0"/>
          <w:divBdr>
            <w:top w:val="none" w:sz="0" w:space="0" w:color="auto"/>
            <w:left w:val="none" w:sz="0" w:space="0" w:color="auto"/>
            <w:bottom w:val="none" w:sz="0" w:space="0" w:color="auto"/>
            <w:right w:val="none" w:sz="0" w:space="0" w:color="auto"/>
          </w:divBdr>
          <w:divsChild>
            <w:div w:id="858354293">
              <w:marLeft w:val="0"/>
              <w:marRight w:val="0"/>
              <w:marTop w:val="0"/>
              <w:marBottom w:val="0"/>
              <w:divBdr>
                <w:top w:val="none" w:sz="0" w:space="0" w:color="auto"/>
                <w:left w:val="none" w:sz="0" w:space="0" w:color="auto"/>
                <w:bottom w:val="none" w:sz="0" w:space="0" w:color="auto"/>
                <w:right w:val="none" w:sz="0" w:space="0" w:color="auto"/>
              </w:divBdr>
              <w:divsChild>
                <w:div w:id="1842768047">
                  <w:marLeft w:val="0"/>
                  <w:marRight w:val="0"/>
                  <w:marTop w:val="0"/>
                  <w:marBottom w:val="0"/>
                  <w:divBdr>
                    <w:top w:val="none" w:sz="0" w:space="0" w:color="auto"/>
                    <w:left w:val="none" w:sz="0" w:space="0" w:color="auto"/>
                    <w:bottom w:val="none" w:sz="0" w:space="0" w:color="auto"/>
                    <w:right w:val="none" w:sz="0" w:space="0" w:color="auto"/>
                  </w:divBdr>
                  <w:divsChild>
                    <w:div w:id="684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52762">
      <w:bodyDiv w:val="1"/>
      <w:marLeft w:val="0"/>
      <w:marRight w:val="0"/>
      <w:marTop w:val="0"/>
      <w:marBottom w:val="0"/>
      <w:divBdr>
        <w:top w:val="none" w:sz="0" w:space="0" w:color="auto"/>
        <w:left w:val="none" w:sz="0" w:space="0" w:color="auto"/>
        <w:bottom w:val="none" w:sz="0" w:space="0" w:color="auto"/>
        <w:right w:val="none" w:sz="0" w:space="0" w:color="auto"/>
      </w:divBdr>
    </w:div>
    <w:div w:id="1821844922">
      <w:bodyDiv w:val="1"/>
      <w:marLeft w:val="0"/>
      <w:marRight w:val="0"/>
      <w:marTop w:val="0"/>
      <w:marBottom w:val="0"/>
      <w:divBdr>
        <w:top w:val="none" w:sz="0" w:space="0" w:color="auto"/>
        <w:left w:val="none" w:sz="0" w:space="0" w:color="auto"/>
        <w:bottom w:val="none" w:sz="0" w:space="0" w:color="auto"/>
        <w:right w:val="none" w:sz="0" w:space="0" w:color="auto"/>
      </w:divBdr>
    </w:div>
    <w:div w:id="1865367520">
      <w:bodyDiv w:val="1"/>
      <w:marLeft w:val="0"/>
      <w:marRight w:val="0"/>
      <w:marTop w:val="0"/>
      <w:marBottom w:val="0"/>
      <w:divBdr>
        <w:top w:val="none" w:sz="0" w:space="0" w:color="auto"/>
        <w:left w:val="none" w:sz="0" w:space="0" w:color="auto"/>
        <w:bottom w:val="none" w:sz="0" w:space="0" w:color="auto"/>
        <w:right w:val="none" w:sz="0" w:space="0" w:color="auto"/>
      </w:divBdr>
      <w:divsChild>
        <w:div w:id="808978665">
          <w:marLeft w:val="0"/>
          <w:marRight w:val="0"/>
          <w:marTop w:val="0"/>
          <w:marBottom w:val="0"/>
          <w:divBdr>
            <w:top w:val="none" w:sz="0" w:space="0" w:color="auto"/>
            <w:left w:val="none" w:sz="0" w:space="0" w:color="auto"/>
            <w:bottom w:val="none" w:sz="0" w:space="0" w:color="auto"/>
            <w:right w:val="none" w:sz="0" w:space="0" w:color="auto"/>
          </w:divBdr>
          <w:divsChild>
            <w:div w:id="532232157">
              <w:marLeft w:val="0"/>
              <w:marRight w:val="0"/>
              <w:marTop w:val="0"/>
              <w:marBottom w:val="0"/>
              <w:divBdr>
                <w:top w:val="none" w:sz="0" w:space="0" w:color="auto"/>
                <w:left w:val="none" w:sz="0" w:space="0" w:color="auto"/>
                <w:bottom w:val="none" w:sz="0" w:space="0" w:color="auto"/>
                <w:right w:val="none" w:sz="0" w:space="0" w:color="auto"/>
              </w:divBdr>
              <w:divsChild>
                <w:div w:id="1675454125">
                  <w:marLeft w:val="0"/>
                  <w:marRight w:val="0"/>
                  <w:marTop w:val="0"/>
                  <w:marBottom w:val="0"/>
                  <w:divBdr>
                    <w:top w:val="none" w:sz="0" w:space="0" w:color="auto"/>
                    <w:left w:val="none" w:sz="0" w:space="0" w:color="auto"/>
                    <w:bottom w:val="none" w:sz="0" w:space="0" w:color="auto"/>
                    <w:right w:val="none" w:sz="0" w:space="0" w:color="auto"/>
                  </w:divBdr>
                  <w:divsChild>
                    <w:div w:id="1119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2347">
      <w:bodyDiv w:val="1"/>
      <w:marLeft w:val="0"/>
      <w:marRight w:val="0"/>
      <w:marTop w:val="0"/>
      <w:marBottom w:val="0"/>
      <w:divBdr>
        <w:top w:val="none" w:sz="0" w:space="0" w:color="auto"/>
        <w:left w:val="none" w:sz="0" w:space="0" w:color="auto"/>
        <w:bottom w:val="none" w:sz="0" w:space="0" w:color="auto"/>
        <w:right w:val="none" w:sz="0" w:space="0" w:color="auto"/>
      </w:divBdr>
    </w:div>
    <w:div w:id="1907916056">
      <w:bodyDiv w:val="1"/>
      <w:marLeft w:val="0"/>
      <w:marRight w:val="0"/>
      <w:marTop w:val="0"/>
      <w:marBottom w:val="0"/>
      <w:divBdr>
        <w:top w:val="none" w:sz="0" w:space="0" w:color="auto"/>
        <w:left w:val="none" w:sz="0" w:space="0" w:color="auto"/>
        <w:bottom w:val="none" w:sz="0" w:space="0" w:color="auto"/>
        <w:right w:val="none" w:sz="0" w:space="0" w:color="auto"/>
      </w:divBdr>
    </w:div>
    <w:div w:id="1908343077">
      <w:bodyDiv w:val="1"/>
      <w:marLeft w:val="0"/>
      <w:marRight w:val="0"/>
      <w:marTop w:val="0"/>
      <w:marBottom w:val="0"/>
      <w:divBdr>
        <w:top w:val="none" w:sz="0" w:space="0" w:color="auto"/>
        <w:left w:val="none" w:sz="0" w:space="0" w:color="auto"/>
        <w:bottom w:val="none" w:sz="0" w:space="0" w:color="auto"/>
        <w:right w:val="none" w:sz="0" w:space="0" w:color="auto"/>
      </w:divBdr>
      <w:divsChild>
        <w:div w:id="232132345">
          <w:marLeft w:val="0"/>
          <w:marRight w:val="0"/>
          <w:marTop w:val="0"/>
          <w:marBottom w:val="0"/>
          <w:divBdr>
            <w:top w:val="none" w:sz="0" w:space="0" w:color="auto"/>
            <w:left w:val="none" w:sz="0" w:space="0" w:color="auto"/>
            <w:bottom w:val="none" w:sz="0" w:space="0" w:color="auto"/>
            <w:right w:val="none" w:sz="0" w:space="0" w:color="auto"/>
          </w:divBdr>
          <w:divsChild>
            <w:div w:id="1930696446">
              <w:marLeft w:val="0"/>
              <w:marRight w:val="0"/>
              <w:marTop w:val="0"/>
              <w:marBottom w:val="0"/>
              <w:divBdr>
                <w:top w:val="none" w:sz="0" w:space="0" w:color="auto"/>
                <w:left w:val="none" w:sz="0" w:space="0" w:color="auto"/>
                <w:bottom w:val="none" w:sz="0" w:space="0" w:color="auto"/>
                <w:right w:val="none" w:sz="0" w:space="0" w:color="auto"/>
              </w:divBdr>
              <w:divsChild>
                <w:div w:id="13314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5555">
      <w:bodyDiv w:val="1"/>
      <w:marLeft w:val="0"/>
      <w:marRight w:val="0"/>
      <w:marTop w:val="0"/>
      <w:marBottom w:val="0"/>
      <w:divBdr>
        <w:top w:val="none" w:sz="0" w:space="0" w:color="auto"/>
        <w:left w:val="none" w:sz="0" w:space="0" w:color="auto"/>
        <w:bottom w:val="none" w:sz="0" w:space="0" w:color="auto"/>
        <w:right w:val="none" w:sz="0" w:space="0" w:color="auto"/>
      </w:divBdr>
      <w:divsChild>
        <w:div w:id="446585869">
          <w:marLeft w:val="0"/>
          <w:marRight w:val="0"/>
          <w:marTop w:val="0"/>
          <w:marBottom w:val="0"/>
          <w:divBdr>
            <w:top w:val="none" w:sz="0" w:space="0" w:color="auto"/>
            <w:left w:val="none" w:sz="0" w:space="0" w:color="auto"/>
            <w:bottom w:val="none" w:sz="0" w:space="0" w:color="auto"/>
            <w:right w:val="none" w:sz="0" w:space="0" w:color="auto"/>
          </w:divBdr>
          <w:divsChild>
            <w:div w:id="1536036652">
              <w:marLeft w:val="0"/>
              <w:marRight w:val="0"/>
              <w:marTop w:val="0"/>
              <w:marBottom w:val="0"/>
              <w:divBdr>
                <w:top w:val="none" w:sz="0" w:space="0" w:color="auto"/>
                <w:left w:val="none" w:sz="0" w:space="0" w:color="auto"/>
                <w:bottom w:val="none" w:sz="0" w:space="0" w:color="auto"/>
                <w:right w:val="none" w:sz="0" w:space="0" w:color="auto"/>
              </w:divBdr>
              <w:divsChild>
                <w:div w:id="15056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2917">
      <w:bodyDiv w:val="1"/>
      <w:marLeft w:val="0"/>
      <w:marRight w:val="0"/>
      <w:marTop w:val="0"/>
      <w:marBottom w:val="0"/>
      <w:divBdr>
        <w:top w:val="none" w:sz="0" w:space="0" w:color="auto"/>
        <w:left w:val="none" w:sz="0" w:space="0" w:color="auto"/>
        <w:bottom w:val="none" w:sz="0" w:space="0" w:color="auto"/>
        <w:right w:val="none" w:sz="0" w:space="0" w:color="auto"/>
      </w:divBdr>
      <w:divsChild>
        <w:div w:id="1920745349">
          <w:marLeft w:val="0"/>
          <w:marRight w:val="0"/>
          <w:marTop w:val="0"/>
          <w:marBottom w:val="0"/>
          <w:divBdr>
            <w:top w:val="none" w:sz="0" w:space="0" w:color="auto"/>
            <w:left w:val="none" w:sz="0" w:space="0" w:color="auto"/>
            <w:bottom w:val="none" w:sz="0" w:space="0" w:color="auto"/>
            <w:right w:val="none" w:sz="0" w:space="0" w:color="auto"/>
          </w:divBdr>
          <w:divsChild>
            <w:div w:id="557935583">
              <w:marLeft w:val="0"/>
              <w:marRight w:val="0"/>
              <w:marTop w:val="0"/>
              <w:marBottom w:val="0"/>
              <w:divBdr>
                <w:top w:val="none" w:sz="0" w:space="0" w:color="auto"/>
                <w:left w:val="none" w:sz="0" w:space="0" w:color="auto"/>
                <w:bottom w:val="none" w:sz="0" w:space="0" w:color="auto"/>
                <w:right w:val="none" w:sz="0" w:space="0" w:color="auto"/>
              </w:divBdr>
              <w:divsChild>
                <w:div w:id="556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8727">
      <w:bodyDiv w:val="1"/>
      <w:marLeft w:val="0"/>
      <w:marRight w:val="0"/>
      <w:marTop w:val="0"/>
      <w:marBottom w:val="0"/>
      <w:divBdr>
        <w:top w:val="none" w:sz="0" w:space="0" w:color="auto"/>
        <w:left w:val="none" w:sz="0" w:space="0" w:color="auto"/>
        <w:bottom w:val="none" w:sz="0" w:space="0" w:color="auto"/>
        <w:right w:val="none" w:sz="0" w:space="0" w:color="auto"/>
      </w:divBdr>
    </w:div>
    <w:div w:id="2051762959">
      <w:bodyDiv w:val="1"/>
      <w:marLeft w:val="0"/>
      <w:marRight w:val="0"/>
      <w:marTop w:val="0"/>
      <w:marBottom w:val="0"/>
      <w:divBdr>
        <w:top w:val="none" w:sz="0" w:space="0" w:color="auto"/>
        <w:left w:val="none" w:sz="0" w:space="0" w:color="auto"/>
        <w:bottom w:val="none" w:sz="0" w:space="0" w:color="auto"/>
        <w:right w:val="none" w:sz="0" w:space="0" w:color="auto"/>
      </w:divBdr>
    </w:div>
    <w:div w:id="2057510693">
      <w:bodyDiv w:val="1"/>
      <w:marLeft w:val="0"/>
      <w:marRight w:val="0"/>
      <w:marTop w:val="0"/>
      <w:marBottom w:val="0"/>
      <w:divBdr>
        <w:top w:val="none" w:sz="0" w:space="0" w:color="auto"/>
        <w:left w:val="none" w:sz="0" w:space="0" w:color="auto"/>
        <w:bottom w:val="none" w:sz="0" w:space="0" w:color="auto"/>
        <w:right w:val="none" w:sz="0" w:space="0" w:color="auto"/>
      </w:divBdr>
    </w:div>
    <w:div w:id="2061436069">
      <w:bodyDiv w:val="1"/>
      <w:marLeft w:val="0"/>
      <w:marRight w:val="0"/>
      <w:marTop w:val="0"/>
      <w:marBottom w:val="0"/>
      <w:divBdr>
        <w:top w:val="none" w:sz="0" w:space="0" w:color="auto"/>
        <w:left w:val="none" w:sz="0" w:space="0" w:color="auto"/>
        <w:bottom w:val="none" w:sz="0" w:space="0" w:color="auto"/>
        <w:right w:val="none" w:sz="0" w:space="0" w:color="auto"/>
      </w:divBdr>
    </w:div>
    <w:div w:id="2068449867">
      <w:bodyDiv w:val="1"/>
      <w:marLeft w:val="0"/>
      <w:marRight w:val="0"/>
      <w:marTop w:val="0"/>
      <w:marBottom w:val="0"/>
      <w:divBdr>
        <w:top w:val="none" w:sz="0" w:space="0" w:color="auto"/>
        <w:left w:val="none" w:sz="0" w:space="0" w:color="auto"/>
        <w:bottom w:val="none" w:sz="0" w:space="0" w:color="auto"/>
        <w:right w:val="none" w:sz="0" w:space="0" w:color="auto"/>
      </w:divBdr>
      <w:divsChild>
        <w:div w:id="1835948018">
          <w:marLeft w:val="0"/>
          <w:marRight w:val="0"/>
          <w:marTop w:val="0"/>
          <w:marBottom w:val="0"/>
          <w:divBdr>
            <w:top w:val="none" w:sz="0" w:space="0" w:color="auto"/>
            <w:left w:val="none" w:sz="0" w:space="0" w:color="auto"/>
            <w:bottom w:val="none" w:sz="0" w:space="0" w:color="auto"/>
            <w:right w:val="none" w:sz="0" w:space="0" w:color="auto"/>
          </w:divBdr>
          <w:divsChild>
            <w:div w:id="743645776">
              <w:marLeft w:val="0"/>
              <w:marRight w:val="0"/>
              <w:marTop w:val="0"/>
              <w:marBottom w:val="0"/>
              <w:divBdr>
                <w:top w:val="none" w:sz="0" w:space="0" w:color="auto"/>
                <w:left w:val="none" w:sz="0" w:space="0" w:color="auto"/>
                <w:bottom w:val="none" w:sz="0" w:space="0" w:color="auto"/>
                <w:right w:val="none" w:sz="0" w:space="0" w:color="auto"/>
              </w:divBdr>
              <w:divsChild>
                <w:div w:id="1124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1034">
      <w:bodyDiv w:val="1"/>
      <w:marLeft w:val="0"/>
      <w:marRight w:val="0"/>
      <w:marTop w:val="0"/>
      <w:marBottom w:val="0"/>
      <w:divBdr>
        <w:top w:val="none" w:sz="0" w:space="0" w:color="auto"/>
        <w:left w:val="none" w:sz="0" w:space="0" w:color="auto"/>
        <w:bottom w:val="none" w:sz="0" w:space="0" w:color="auto"/>
        <w:right w:val="none" w:sz="0" w:space="0" w:color="auto"/>
      </w:divBdr>
      <w:divsChild>
        <w:div w:id="1317035334">
          <w:marLeft w:val="0"/>
          <w:marRight w:val="0"/>
          <w:marTop w:val="0"/>
          <w:marBottom w:val="0"/>
          <w:divBdr>
            <w:top w:val="none" w:sz="0" w:space="0" w:color="auto"/>
            <w:left w:val="none" w:sz="0" w:space="0" w:color="auto"/>
            <w:bottom w:val="none" w:sz="0" w:space="0" w:color="auto"/>
            <w:right w:val="none" w:sz="0" w:space="0" w:color="auto"/>
          </w:divBdr>
          <w:divsChild>
            <w:div w:id="777799260">
              <w:marLeft w:val="0"/>
              <w:marRight w:val="0"/>
              <w:marTop w:val="0"/>
              <w:marBottom w:val="0"/>
              <w:divBdr>
                <w:top w:val="none" w:sz="0" w:space="0" w:color="auto"/>
                <w:left w:val="none" w:sz="0" w:space="0" w:color="auto"/>
                <w:bottom w:val="none" w:sz="0" w:space="0" w:color="auto"/>
                <w:right w:val="none" w:sz="0" w:space="0" w:color="auto"/>
              </w:divBdr>
              <w:divsChild>
                <w:div w:id="3250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5303">
      <w:bodyDiv w:val="1"/>
      <w:marLeft w:val="0"/>
      <w:marRight w:val="0"/>
      <w:marTop w:val="0"/>
      <w:marBottom w:val="0"/>
      <w:divBdr>
        <w:top w:val="none" w:sz="0" w:space="0" w:color="auto"/>
        <w:left w:val="none" w:sz="0" w:space="0" w:color="auto"/>
        <w:bottom w:val="none" w:sz="0" w:space="0" w:color="auto"/>
        <w:right w:val="none" w:sz="0" w:space="0" w:color="auto"/>
      </w:divBdr>
      <w:divsChild>
        <w:div w:id="1768310729">
          <w:marLeft w:val="0"/>
          <w:marRight w:val="0"/>
          <w:marTop w:val="0"/>
          <w:marBottom w:val="0"/>
          <w:divBdr>
            <w:top w:val="none" w:sz="0" w:space="0" w:color="auto"/>
            <w:left w:val="none" w:sz="0" w:space="0" w:color="auto"/>
            <w:bottom w:val="none" w:sz="0" w:space="0" w:color="auto"/>
            <w:right w:val="none" w:sz="0" w:space="0" w:color="auto"/>
          </w:divBdr>
          <w:divsChild>
            <w:div w:id="434448476">
              <w:marLeft w:val="0"/>
              <w:marRight w:val="0"/>
              <w:marTop w:val="0"/>
              <w:marBottom w:val="0"/>
              <w:divBdr>
                <w:top w:val="none" w:sz="0" w:space="0" w:color="auto"/>
                <w:left w:val="none" w:sz="0" w:space="0" w:color="auto"/>
                <w:bottom w:val="none" w:sz="0" w:space="0" w:color="auto"/>
                <w:right w:val="none" w:sz="0" w:space="0" w:color="auto"/>
              </w:divBdr>
              <w:divsChild>
                <w:div w:id="1592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0810">
      <w:bodyDiv w:val="1"/>
      <w:marLeft w:val="0"/>
      <w:marRight w:val="0"/>
      <w:marTop w:val="0"/>
      <w:marBottom w:val="0"/>
      <w:divBdr>
        <w:top w:val="none" w:sz="0" w:space="0" w:color="auto"/>
        <w:left w:val="none" w:sz="0" w:space="0" w:color="auto"/>
        <w:bottom w:val="none" w:sz="0" w:space="0" w:color="auto"/>
        <w:right w:val="none" w:sz="0" w:space="0" w:color="auto"/>
      </w:divBdr>
    </w:div>
    <w:div w:id="2132362613">
      <w:bodyDiv w:val="1"/>
      <w:marLeft w:val="0"/>
      <w:marRight w:val="0"/>
      <w:marTop w:val="0"/>
      <w:marBottom w:val="0"/>
      <w:divBdr>
        <w:top w:val="none" w:sz="0" w:space="0" w:color="auto"/>
        <w:left w:val="none" w:sz="0" w:space="0" w:color="auto"/>
        <w:bottom w:val="none" w:sz="0" w:space="0" w:color="auto"/>
        <w:right w:val="none" w:sz="0" w:space="0" w:color="auto"/>
      </w:divBdr>
      <w:divsChild>
        <w:div w:id="1568686138">
          <w:marLeft w:val="0"/>
          <w:marRight w:val="0"/>
          <w:marTop w:val="0"/>
          <w:marBottom w:val="0"/>
          <w:divBdr>
            <w:top w:val="none" w:sz="0" w:space="0" w:color="auto"/>
            <w:left w:val="none" w:sz="0" w:space="0" w:color="auto"/>
            <w:bottom w:val="none" w:sz="0" w:space="0" w:color="auto"/>
            <w:right w:val="none" w:sz="0" w:space="0" w:color="auto"/>
          </w:divBdr>
          <w:divsChild>
            <w:div w:id="239877253">
              <w:marLeft w:val="0"/>
              <w:marRight w:val="0"/>
              <w:marTop w:val="0"/>
              <w:marBottom w:val="0"/>
              <w:divBdr>
                <w:top w:val="none" w:sz="0" w:space="0" w:color="auto"/>
                <w:left w:val="none" w:sz="0" w:space="0" w:color="auto"/>
                <w:bottom w:val="none" w:sz="0" w:space="0" w:color="auto"/>
                <w:right w:val="none" w:sz="0" w:space="0" w:color="auto"/>
              </w:divBdr>
              <w:divsChild>
                <w:div w:id="8882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4053</Words>
  <Characters>21889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Eduarda Cargnin</dc:creator>
  <cp:lastModifiedBy>Andre Sebben</cp:lastModifiedBy>
  <cp:revision>2</cp:revision>
  <dcterms:created xsi:type="dcterms:W3CDTF">2022-01-09T11:57:00Z</dcterms:created>
  <dcterms:modified xsi:type="dcterms:W3CDTF">2022-01-09T11:57:00Z</dcterms:modified>
</cp:coreProperties>
</file>