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5A5C3" w14:textId="050D7E73" w:rsidR="004A1111" w:rsidRDefault="00424756" w:rsidP="002E05AE">
      <w:pPr>
        <w:spacing w:line="48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FOLHA DE ROSTO</w:t>
      </w:r>
    </w:p>
    <w:p w14:paraId="2DB9F7FF" w14:textId="77777777" w:rsidR="00424756" w:rsidRDefault="00424756" w:rsidP="002E05AE">
      <w:pPr>
        <w:spacing w:line="480" w:lineRule="auto"/>
        <w:jc w:val="center"/>
        <w:rPr>
          <w:rFonts w:ascii="Arial" w:hAnsi="Arial" w:cs="Arial"/>
          <w:sz w:val="28"/>
        </w:rPr>
      </w:pPr>
    </w:p>
    <w:p w14:paraId="20047C6C" w14:textId="513D8F77" w:rsidR="005C07C6" w:rsidRPr="004A1111" w:rsidRDefault="00424756" w:rsidP="002E05AE">
      <w:pPr>
        <w:spacing w:line="48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</w:rPr>
        <w:t xml:space="preserve">Título: </w:t>
      </w:r>
      <w:r>
        <w:rPr>
          <w:rFonts w:ascii="Arial" w:hAnsi="Arial" w:cs="Arial"/>
          <w:bCs/>
          <w:sz w:val="28"/>
        </w:rPr>
        <w:t>Manejo cirúrgico das lesões complexas envelhecidas do sacro</w:t>
      </w:r>
      <w:r w:rsidR="006278B7">
        <w:rPr>
          <w:rFonts w:ascii="Arial" w:hAnsi="Arial" w:cs="Arial"/>
          <w:bCs/>
          <w:sz w:val="28"/>
        </w:rPr>
        <w:t xml:space="preserve"> por estabilização </w:t>
      </w:r>
      <w:proofErr w:type="spellStart"/>
      <w:r w:rsidR="006278B7">
        <w:rPr>
          <w:rFonts w:ascii="Arial" w:hAnsi="Arial" w:cs="Arial"/>
          <w:bCs/>
          <w:sz w:val="28"/>
        </w:rPr>
        <w:t>lombopélvica</w:t>
      </w:r>
      <w:proofErr w:type="spellEnd"/>
      <w:r>
        <w:rPr>
          <w:rFonts w:ascii="Arial" w:hAnsi="Arial" w:cs="Arial"/>
          <w:bCs/>
          <w:sz w:val="28"/>
        </w:rPr>
        <w:t>: avaliação longitudinal de 16 casos</w:t>
      </w:r>
    </w:p>
    <w:p w14:paraId="7664D0BA" w14:textId="4C381EDA" w:rsidR="004A1111" w:rsidRPr="004A1111" w:rsidRDefault="004A1111" w:rsidP="002E05AE">
      <w:pPr>
        <w:spacing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A853D4" w14:textId="0AAF2CE9" w:rsidR="004A1111" w:rsidRDefault="00424756" w:rsidP="002E05AE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Autores:</w:t>
      </w:r>
    </w:p>
    <w:p w14:paraId="526BBFF0" w14:textId="77777777" w:rsidR="00424756" w:rsidRPr="00CF782B" w:rsidRDefault="00424756" w:rsidP="002E05AE">
      <w:pPr>
        <w:spacing w:line="480" w:lineRule="auto"/>
        <w:jc w:val="both"/>
        <w:rPr>
          <w:rFonts w:ascii="Arial" w:hAnsi="Arial" w:cs="Arial"/>
        </w:rPr>
      </w:pPr>
    </w:p>
    <w:p w14:paraId="313F805C" w14:textId="73E91A71" w:rsidR="00900EA1" w:rsidRDefault="00900EA1" w:rsidP="002E05AE">
      <w:pPr>
        <w:spacing w:line="480" w:lineRule="auto"/>
        <w:jc w:val="both"/>
        <w:rPr>
          <w:rFonts w:ascii="Arial" w:hAnsi="Arial" w:cs="Arial"/>
        </w:rPr>
      </w:pPr>
      <w:r w:rsidRPr="00900EA1">
        <w:rPr>
          <w:rFonts w:ascii="Arial" w:hAnsi="Arial" w:cs="Arial"/>
        </w:rPr>
        <w:t>Alderico Girão Campos de Barros</w:t>
      </w:r>
      <w:r w:rsidR="00424756">
        <w:rPr>
          <w:rFonts w:ascii="Arial" w:hAnsi="Arial" w:cs="Arial"/>
        </w:rPr>
        <w:t xml:space="preserve"> 1</w:t>
      </w:r>
    </w:p>
    <w:p w14:paraId="324D08CD" w14:textId="50A8660C" w:rsidR="00424756" w:rsidRPr="00900EA1" w:rsidRDefault="00424756" w:rsidP="002E05AE">
      <w:pPr>
        <w:spacing w:line="480" w:lineRule="auto"/>
        <w:jc w:val="both"/>
        <w:rPr>
          <w:rFonts w:ascii="Arial" w:hAnsi="Arial" w:cs="Arial"/>
        </w:rPr>
      </w:pPr>
      <w:r w:rsidRPr="00900EA1">
        <w:rPr>
          <w:rFonts w:ascii="Arial" w:hAnsi="Arial" w:cs="Arial"/>
        </w:rPr>
        <w:t>Luiz Felippe Mokdeci Martins de Oliveira</w:t>
      </w:r>
      <w:r>
        <w:rPr>
          <w:rFonts w:ascii="Arial" w:hAnsi="Arial" w:cs="Arial"/>
        </w:rPr>
        <w:t xml:space="preserve"> 1</w:t>
      </w:r>
    </w:p>
    <w:p w14:paraId="5D30CA84" w14:textId="675FC415" w:rsidR="00A06DF6" w:rsidRPr="00900EA1" w:rsidRDefault="00A06DF6" w:rsidP="002E05AE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Ana Carolina Leal</w:t>
      </w:r>
      <w:r w:rsidR="00424756">
        <w:rPr>
          <w:rFonts w:ascii="Arial" w:hAnsi="Arial" w:cs="Arial"/>
        </w:rPr>
        <w:t xml:space="preserve"> 2</w:t>
      </w:r>
    </w:p>
    <w:p w14:paraId="514F31D5" w14:textId="5FF23EC8" w:rsidR="00424756" w:rsidRPr="00900EA1" w:rsidRDefault="00424756" w:rsidP="002E05AE">
      <w:pPr>
        <w:spacing w:line="480" w:lineRule="auto"/>
        <w:jc w:val="both"/>
        <w:rPr>
          <w:rFonts w:ascii="Arial" w:hAnsi="Arial" w:cs="Arial"/>
        </w:rPr>
      </w:pPr>
      <w:r w:rsidRPr="00900EA1">
        <w:rPr>
          <w:rFonts w:ascii="Arial" w:hAnsi="Arial" w:cs="Arial"/>
        </w:rPr>
        <w:t>João Antônio Matheus Guimarães</w:t>
      </w:r>
      <w:r>
        <w:rPr>
          <w:rFonts w:ascii="Arial" w:hAnsi="Arial" w:cs="Arial"/>
        </w:rPr>
        <w:t xml:space="preserve"> 2</w:t>
      </w:r>
    </w:p>
    <w:p w14:paraId="6C2C1386" w14:textId="6B5F60BC" w:rsidR="00900EA1" w:rsidRPr="00900EA1" w:rsidRDefault="00900EA1" w:rsidP="002E05AE">
      <w:pPr>
        <w:spacing w:line="480" w:lineRule="auto"/>
        <w:jc w:val="both"/>
        <w:rPr>
          <w:rFonts w:ascii="Arial" w:hAnsi="Arial" w:cs="Arial"/>
        </w:rPr>
      </w:pPr>
      <w:proofErr w:type="spellStart"/>
      <w:r w:rsidRPr="00900EA1">
        <w:rPr>
          <w:rFonts w:ascii="Arial" w:hAnsi="Arial" w:cs="Arial"/>
        </w:rPr>
        <w:t>Luis</w:t>
      </w:r>
      <w:proofErr w:type="spellEnd"/>
      <w:r w:rsidRPr="00900EA1">
        <w:rPr>
          <w:rFonts w:ascii="Arial" w:hAnsi="Arial" w:cs="Arial"/>
        </w:rPr>
        <w:t xml:space="preserve"> Eduardo Carelli Teixeira da Silva</w:t>
      </w:r>
      <w:r w:rsidR="00424756">
        <w:rPr>
          <w:rFonts w:ascii="Arial" w:hAnsi="Arial" w:cs="Arial"/>
        </w:rPr>
        <w:t xml:space="preserve"> 1</w:t>
      </w:r>
    </w:p>
    <w:p w14:paraId="1055D913" w14:textId="77777777" w:rsidR="004A1111" w:rsidRPr="00E4449B" w:rsidRDefault="004A1111" w:rsidP="002E05AE">
      <w:pPr>
        <w:spacing w:line="480" w:lineRule="auto"/>
        <w:ind w:left="4111"/>
        <w:jc w:val="both"/>
        <w:rPr>
          <w:rFonts w:ascii="Arial" w:hAnsi="Arial" w:cs="Arial"/>
        </w:rPr>
      </w:pPr>
    </w:p>
    <w:p w14:paraId="143A427A" w14:textId="21A04763" w:rsidR="00424756" w:rsidRDefault="00424756" w:rsidP="002E05AE">
      <w:pPr>
        <w:tabs>
          <w:tab w:val="left" w:pos="7088"/>
          <w:tab w:val="left" w:pos="723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1 - Instituto Nacional de Traumatologia e Ortopedia Jamil Haddad, Centro de Atenção Especializada da Coluna.</w:t>
      </w:r>
    </w:p>
    <w:p w14:paraId="02224B0B" w14:textId="006F00C8" w:rsidR="004A1111" w:rsidRDefault="00424756" w:rsidP="002E05AE">
      <w:pPr>
        <w:tabs>
          <w:tab w:val="left" w:pos="7088"/>
          <w:tab w:val="left" w:pos="723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2 - Instituto Nacional de Traumatologia e Ortopedia Jamil Haddad, Divisão de </w:t>
      </w:r>
      <w:r w:rsidR="002E05A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nsino e Pesquisa. </w:t>
      </w:r>
    </w:p>
    <w:p w14:paraId="78A5A475" w14:textId="77777777" w:rsidR="004A1111" w:rsidRDefault="004A1111" w:rsidP="002E05AE">
      <w:pPr>
        <w:tabs>
          <w:tab w:val="left" w:pos="7088"/>
          <w:tab w:val="left" w:pos="7230"/>
        </w:tabs>
        <w:spacing w:line="480" w:lineRule="auto"/>
        <w:ind w:left="5529" w:hanging="1418"/>
        <w:jc w:val="both"/>
        <w:rPr>
          <w:rFonts w:ascii="Arial" w:hAnsi="Arial" w:cs="Arial"/>
        </w:rPr>
      </w:pPr>
    </w:p>
    <w:p w14:paraId="05A316F1" w14:textId="77777777" w:rsidR="004A1111" w:rsidRDefault="004A1111" w:rsidP="002E05AE">
      <w:pPr>
        <w:tabs>
          <w:tab w:val="left" w:pos="7088"/>
          <w:tab w:val="left" w:pos="7230"/>
        </w:tabs>
        <w:spacing w:line="480" w:lineRule="auto"/>
        <w:ind w:left="5529" w:hanging="1418"/>
        <w:jc w:val="both"/>
        <w:rPr>
          <w:rFonts w:ascii="Arial" w:hAnsi="Arial" w:cs="Arial"/>
        </w:rPr>
      </w:pPr>
    </w:p>
    <w:p w14:paraId="5CB3DE76" w14:textId="77777777" w:rsidR="004A1111" w:rsidRPr="00CF782B" w:rsidRDefault="004A1111" w:rsidP="002E05AE">
      <w:pPr>
        <w:tabs>
          <w:tab w:val="left" w:pos="7088"/>
          <w:tab w:val="left" w:pos="7230"/>
        </w:tabs>
        <w:spacing w:line="480" w:lineRule="auto"/>
        <w:ind w:left="5529" w:hanging="1418"/>
        <w:jc w:val="both"/>
        <w:rPr>
          <w:rFonts w:ascii="Arial" w:hAnsi="Arial" w:cs="Arial"/>
        </w:rPr>
      </w:pPr>
    </w:p>
    <w:p w14:paraId="7B6A3692" w14:textId="77777777" w:rsidR="004A1111" w:rsidRPr="00CF782B" w:rsidRDefault="004A1111" w:rsidP="002E05AE">
      <w:pPr>
        <w:tabs>
          <w:tab w:val="left" w:pos="4918"/>
          <w:tab w:val="left" w:pos="5352"/>
        </w:tabs>
        <w:spacing w:line="480" w:lineRule="auto"/>
        <w:jc w:val="both"/>
        <w:rPr>
          <w:rFonts w:ascii="Arial" w:hAnsi="Arial" w:cs="Arial"/>
        </w:rPr>
      </w:pPr>
      <w:r w:rsidRPr="00CF782B">
        <w:rPr>
          <w:rFonts w:ascii="Arial" w:hAnsi="Arial" w:cs="Arial"/>
        </w:rPr>
        <w:tab/>
      </w:r>
    </w:p>
    <w:p w14:paraId="34BC79D9" w14:textId="77777777" w:rsidR="004A1111" w:rsidRPr="00CF782B" w:rsidRDefault="004A1111" w:rsidP="002E05AE">
      <w:pPr>
        <w:spacing w:line="480" w:lineRule="auto"/>
        <w:jc w:val="both"/>
        <w:rPr>
          <w:rFonts w:ascii="Arial" w:hAnsi="Arial" w:cs="Arial"/>
        </w:rPr>
      </w:pPr>
    </w:p>
    <w:p w14:paraId="3D9B4895" w14:textId="5D71252C" w:rsidR="004A1111" w:rsidRDefault="004A1111" w:rsidP="002E05AE">
      <w:pPr>
        <w:spacing w:line="480" w:lineRule="auto"/>
        <w:jc w:val="both"/>
        <w:rPr>
          <w:rFonts w:ascii="Arial" w:hAnsi="Arial" w:cs="Arial"/>
        </w:rPr>
      </w:pPr>
    </w:p>
    <w:p w14:paraId="58ABF4F4" w14:textId="57E12B07" w:rsidR="00900EA1" w:rsidRDefault="00900EA1" w:rsidP="002E05AE">
      <w:pPr>
        <w:spacing w:line="480" w:lineRule="auto"/>
        <w:jc w:val="both"/>
        <w:rPr>
          <w:rFonts w:ascii="Arial" w:hAnsi="Arial" w:cs="Arial"/>
        </w:rPr>
      </w:pPr>
    </w:p>
    <w:p w14:paraId="6A30E5E8" w14:textId="59BA15A8" w:rsidR="004A1111" w:rsidRDefault="004A1111" w:rsidP="002E05AE">
      <w:pPr>
        <w:spacing w:line="480" w:lineRule="auto"/>
        <w:jc w:val="both"/>
        <w:rPr>
          <w:rFonts w:ascii="Arial" w:hAnsi="Arial" w:cs="Arial"/>
        </w:rPr>
      </w:pPr>
      <w:r w:rsidRPr="00CF782B">
        <w:rPr>
          <w:rFonts w:ascii="Arial" w:hAnsi="Arial" w:cs="Arial"/>
          <w:b/>
        </w:rPr>
        <w:lastRenderedPageBreak/>
        <w:t>INTRODUÇÃO</w:t>
      </w:r>
      <w:r w:rsidRPr="00CF782B">
        <w:rPr>
          <w:rFonts w:ascii="Arial" w:hAnsi="Arial" w:cs="Arial"/>
        </w:rPr>
        <w:t xml:space="preserve"> </w:t>
      </w:r>
    </w:p>
    <w:p w14:paraId="7814B8B7" w14:textId="0F63ADDD" w:rsidR="009C12A3" w:rsidRPr="007C6C75" w:rsidRDefault="009C12A3" w:rsidP="002E05AE">
      <w:pPr>
        <w:spacing w:line="480" w:lineRule="auto"/>
        <w:ind w:firstLine="696"/>
        <w:jc w:val="both"/>
        <w:rPr>
          <w:rFonts w:ascii="Arial" w:hAnsi="Arial" w:cs="Arial"/>
          <w:color w:val="000000" w:themeColor="text1"/>
        </w:rPr>
      </w:pPr>
      <w:r w:rsidRPr="007C6C75">
        <w:rPr>
          <w:rFonts w:ascii="Arial" w:hAnsi="Arial" w:cs="Arial"/>
          <w:color w:val="000000" w:themeColor="text1"/>
        </w:rPr>
        <w:br/>
      </w:r>
      <w:r w:rsidR="004B73E5" w:rsidRPr="007C6C75">
        <w:rPr>
          <w:rFonts w:ascii="Arial" w:hAnsi="Arial" w:cs="Arial"/>
          <w:color w:val="000000" w:themeColor="text1"/>
        </w:rPr>
        <w:t xml:space="preserve"> </w:t>
      </w:r>
      <w:r w:rsidR="004B73E5" w:rsidRPr="007C6C75">
        <w:rPr>
          <w:rFonts w:ascii="Arial" w:hAnsi="Arial" w:cs="Arial"/>
          <w:color w:val="000000" w:themeColor="text1"/>
        </w:rPr>
        <w:tab/>
      </w:r>
      <w:r w:rsidRPr="007C6C75">
        <w:rPr>
          <w:rFonts w:ascii="Arial" w:hAnsi="Arial" w:cs="Arial"/>
          <w:color w:val="000000" w:themeColor="text1"/>
        </w:rPr>
        <w:t>A integridade do sacro é fundamental para a estabilidade do anel pélvico e transmissão de forças da coluna vertebral para a pelve</w:t>
      </w:r>
      <w:r w:rsidRPr="007C6C75">
        <w:rPr>
          <w:rFonts w:ascii="Arial" w:hAnsi="Arial" w:cs="Arial"/>
          <w:color w:val="000000" w:themeColor="text1"/>
          <w:vertAlign w:val="superscript"/>
        </w:rPr>
        <w:t>1</w:t>
      </w:r>
      <w:r w:rsidRPr="007C6C75">
        <w:rPr>
          <w:rFonts w:ascii="Arial" w:hAnsi="Arial" w:cs="Arial"/>
          <w:color w:val="000000" w:themeColor="text1"/>
        </w:rPr>
        <w:t>. Em sua maioria</w:t>
      </w:r>
      <w:r w:rsidR="002E05AE">
        <w:rPr>
          <w:rFonts w:ascii="Arial" w:hAnsi="Arial" w:cs="Arial"/>
          <w:color w:val="000000" w:themeColor="text1"/>
        </w:rPr>
        <w:t>,</w:t>
      </w:r>
      <w:r w:rsidRPr="007C6C75">
        <w:rPr>
          <w:rFonts w:ascii="Arial" w:hAnsi="Arial" w:cs="Arial"/>
          <w:color w:val="000000" w:themeColor="text1"/>
        </w:rPr>
        <w:t xml:space="preserve"> as fraturas do sacro ocorrem após traumas de grande energia, correspondendo a 1% de todas as fraturas da coluna vertebral</w:t>
      </w:r>
      <w:r w:rsidR="007C6C75">
        <w:rPr>
          <w:rFonts w:ascii="Arial" w:hAnsi="Arial" w:cs="Arial"/>
          <w:color w:val="000000" w:themeColor="text1"/>
          <w:vertAlign w:val="superscript"/>
        </w:rPr>
        <w:t>1</w:t>
      </w:r>
      <w:r w:rsidRPr="007C6C75">
        <w:rPr>
          <w:rFonts w:ascii="Arial" w:hAnsi="Arial" w:cs="Arial"/>
          <w:color w:val="000000" w:themeColor="text1"/>
        </w:rPr>
        <w:t xml:space="preserve">. Aproximadamente 60% destas fraturas passam despercebidas na avaliação inicial </w:t>
      </w:r>
      <w:r w:rsidRPr="007C6C75">
        <w:rPr>
          <w:rFonts w:ascii="Arial" w:hAnsi="Arial" w:cs="Arial"/>
          <w:color w:val="000000" w:themeColor="text1"/>
          <w:vertAlign w:val="superscript"/>
        </w:rPr>
        <w:t>2</w:t>
      </w:r>
      <w:r w:rsidRPr="007C6C75">
        <w:rPr>
          <w:rFonts w:ascii="Arial" w:hAnsi="Arial" w:cs="Arial"/>
          <w:color w:val="000000" w:themeColor="text1"/>
        </w:rPr>
        <w:t xml:space="preserve">, devido a diversos fatores, como: baixa incidência, ampla variedade de apresentações nos padrões dessas lesões, maior importância dada às lesões associadas, ausência de déficit neurológico motor, bem como a dificuldade de identificar as lesões na radiografia anteroposterior (AP) da pelve no primeiro atendimento </w:t>
      </w:r>
      <w:r w:rsidRPr="007C6C75">
        <w:rPr>
          <w:rFonts w:ascii="Arial" w:hAnsi="Arial" w:cs="Arial"/>
          <w:color w:val="000000" w:themeColor="text1"/>
          <w:vertAlign w:val="superscript"/>
        </w:rPr>
        <w:t>3,4</w:t>
      </w:r>
      <w:r w:rsidR="00A423A5" w:rsidRPr="007C6C75">
        <w:rPr>
          <w:rFonts w:ascii="Arial" w:hAnsi="Arial" w:cs="Arial"/>
          <w:color w:val="000000" w:themeColor="text1"/>
        </w:rPr>
        <w:t>.</w:t>
      </w:r>
      <w:r w:rsidRPr="007C6C75">
        <w:rPr>
          <w:rFonts w:ascii="Arial" w:hAnsi="Arial" w:cs="Arial"/>
          <w:color w:val="000000" w:themeColor="text1"/>
        </w:rPr>
        <w:t xml:space="preserve"> </w:t>
      </w:r>
      <w:r w:rsidR="00A423A5" w:rsidRPr="007C6C75">
        <w:rPr>
          <w:rFonts w:ascii="Arial" w:hAnsi="Arial" w:cs="Arial"/>
          <w:color w:val="000000" w:themeColor="text1"/>
        </w:rPr>
        <w:t xml:space="preserve">O atraso na identificação destas lesões associado ao </w:t>
      </w:r>
      <w:r w:rsidRPr="007C6C75">
        <w:rPr>
          <w:rFonts w:ascii="Arial" w:hAnsi="Arial" w:cs="Arial"/>
          <w:color w:val="000000" w:themeColor="text1"/>
        </w:rPr>
        <w:t>comprometimento clínico dos pacientes e a limitação de recursos materiais e técnicos em alguns centros de trauma</w:t>
      </w:r>
      <w:r w:rsidR="00A423A5" w:rsidRPr="007C6C75">
        <w:rPr>
          <w:rFonts w:ascii="Arial" w:hAnsi="Arial" w:cs="Arial"/>
          <w:color w:val="000000" w:themeColor="text1"/>
        </w:rPr>
        <w:t>,</w:t>
      </w:r>
      <w:r w:rsidRPr="007C6C75">
        <w:rPr>
          <w:rFonts w:ascii="Arial" w:hAnsi="Arial" w:cs="Arial"/>
          <w:color w:val="000000" w:themeColor="text1"/>
        </w:rPr>
        <w:t xml:space="preserve"> fazem com que </w:t>
      </w:r>
      <w:r w:rsidR="00A423A5" w:rsidRPr="007C6C75">
        <w:rPr>
          <w:rFonts w:ascii="Arial" w:hAnsi="Arial" w:cs="Arial"/>
          <w:color w:val="000000" w:themeColor="text1"/>
        </w:rPr>
        <w:t>alguns</w:t>
      </w:r>
      <w:r w:rsidRPr="007C6C75">
        <w:rPr>
          <w:rFonts w:ascii="Arial" w:hAnsi="Arial" w:cs="Arial"/>
          <w:color w:val="000000" w:themeColor="text1"/>
        </w:rPr>
        <w:t xml:space="preserve"> casos de fraturas complexas do sacro sejam tratados tardiamente</w:t>
      </w:r>
      <w:r w:rsidR="007C6C75">
        <w:rPr>
          <w:rFonts w:ascii="Arial" w:hAnsi="Arial" w:cs="Arial"/>
          <w:color w:val="000000" w:themeColor="text1"/>
          <w:vertAlign w:val="superscript"/>
        </w:rPr>
        <w:t>4,5</w:t>
      </w:r>
      <w:r w:rsidRPr="007C6C75">
        <w:rPr>
          <w:rFonts w:ascii="Arial" w:hAnsi="Arial" w:cs="Arial"/>
          <w:color w:val="000000" w:themeColor="text1"/>
        </w:rPr>
        <w:t xml:space="preserve">. </w:t>
      </w:r>
    </w:p>
    <w:p w14:paraId="3CFE6E8E" w14:textId="6ABA870F" w:rsidR="009C12A3" w:rsidRPr="007C6C75" w:rsidRDefault="009C12A3" w:rsidP="002E05AE">
      <w:pPr>
        <w:spacing w:line="480" w:lineRule="auto"/>
        <w:ind w:firstLine="696"/>
        <w:jc w:val="both"/>
        <w:rPr>
          <w:rFonts w:ascii="Arial" w:hAnsi="Arial" w:cs="Arial"/>
          <w:color w:val="000000" w:themeColor="text1"/>
        </w:rPr>
      </w:pPr>
      <w:r w:rsidRPr="007C6C75">
        <w:rPr>
          <w:rFonts w:ascii="Arial" w:hAnsi="Arial" w:cs="Arial"/>
          <w:color w:val="000000" w:themeColor="text1"/>
        </w:rPr>
        <w:t>As fraturas envelhecidas do sacro, ou seja, aquelas que apresentam mais de três semanas de evolução, ainda são um desafio para o cirurgião ortopédico</w:t>
      </w:r>
      <w:r w:rsidR="007C6C75">
        <w:rPr>
          <w:rFonts w:ascii="Arial" w:hAnsi="Arial" w:cs="Arial"/>
          <w:color w:val="000000" w:themeColor="text1"/>
          <w:vertAlign w:val="superscript"/>
        </w:rPr>
        <w:t>5,6</w:t>
      </w:r>
      <w:r w:rsidRPr="007C6C75">
        <w:rPr>
          <w:rFonts w:ascii="Arial" w:hAnsi="Arial" w:cs="Arial"/>
          <w:color w:val="000000" w:themeColor="text1"/>
        </w:rPr>
        <w:t>. O tratamento cirúrgico destas lesões</w:t>
      </w:r>
      <w:r w:rsidR="002E05AE">
        <w:rPr>
          <w:rFonts w:ascii="Arial" w:hAnsi="Arial" w:cs="Arial"/>
          <w:color w:val="000000" w:themeColor="text1"/>
        </w:rPr>
        <w:t xml:space="preserve"> </w:t>
      </w:r>
      <w:r w:rsidRPr="007C6C75">
        <w:rPr>
          <w:rFonts w:ascii="Arial" w:hAnsi="Arial" w:cs="Arial"/>
          <w:color w:val="000000" w:themeColor="text1"/>
        </w:rPr>
        <w:t xml:space="preserve">apresenta uma gama de opções e deve levar em conta as particularidades anatômicas da região, as forças biomecânicas, a complexidade técnica da fixação do sacro e anel pélvico, e o estado clínico do paciente </w:t>
      </w:r>
      <w:r w:rsidR="00057BAC">
        <w:rPr>
          <w:rFonts w:ascii="Arial" w:hAnsi="Arial" w:cs="Arial"/>
          <w:color w:val="000000" w:themeColor="text1"/>
          <w:vertAlign w:val="superscript"/>
        </w:rPr>
        <w:t>7,8</w:t>
      </w:r>
      <w:r w:rsidRPr="007C6C75">
        <w:rPr>
          <w:rFonts w:ascii="Arial" w:hAnsi="Arial" w:cs="Arial"/>
          <w:color w:val="000000" w:themeColor="text1"/>
        </w:rPr>
        <w:t>.</w:t>
      </w:r>
    </w:p>
    <w:p w14:paraId="16BF3568" w14:textId="6D6350D6" w:rsidR="009C12A3" w:rsidRPr="009C12A3" w:rsidRDefault="009C12A3" w:rsidP="002E05AE">
      <w:pPr>
        <w:spacing w:line="480" w:lineRule="auto"/>
        <w:ind w:firstLine="696"/>
        <w:jc w:val="both"/>
        <w:rPr>
          <w:rFonts w:ascii="Arial" w:hAnsi="Arial" w:cs="Arial"/>
          <w:color w:val="538135" w:themeColor="accent6" w:themeShade="BF"/>
        </w:rPr>
      </w:pPr>
      <w:r w:rsidRPr="007C6C75">
        <w:rPr>
          <w:rFonts w:ascii="Arial" w:hAnsi="Arial" w:cs="Arial"/>
          <w:color w:val="000000" w:themeColor="text1"/>
        </w:rPr>
        <w:t xml:space="preserve"> Não existem trabalhos publicados nas principais bases de dados </w:t>
      </w:r>
      <w:r w:rsidR="002E05AE">
        <w:rPr>
          <w:rFonts w:ascii="Arial" w:hAnsi="Arial" w:cs="Arial"/>
          <w:color w:val="000000" w:themeColor="text1"/>
        </w:rPr>
        <w:t>(</w:t>
      </w:r>
      <w:proofErr w:type="spellStart"/>
      <w:r w:rsidRPr="007C6C75">
        <w:rPr>
          <w:rFonts w:ascii="Arial" w:hAnsi="Arial" w:cs="Arial"/>
          <w:color w:val="000000" w:themeColor="text1"/>
        </w:rPr>
        <w:t>Pubmed</w:t>
      </w:r>
      <w:proofErr w:type="spellEnd"/>
      <w:r w:rsidRPr="007C6C75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7C6C75">
        <w:rPr>
          <w:rFonts w:ascii="Arial" w:hAnsi="Arial" w:cs="Arial"/>
          <w:color w:val="000000" w:themeColor="text1"/>
        </w:rPr>
        <w:t>Scielo</w:t>
      </w:r>
      <w:proofErr w:type="spellEnd"/>
      <w:r w:rsidRPr="007C6C75">
        <w:rPr>
          <w:rFonts w:ascii="Arial" w:hAnsi="Arial" w:cs="Arial"/>
          <w:color w:val="000000" w:themeColor="text1"/>
        </w:rPr>
        <w:t xml:space="preserve"> e </w:t>
      </w:r>
      <w:proofErr w:type="spellStart"/>
      <w:r w:rsidRPr="007C6C75">
        <w:rPr>
          <w:rFonts w:ascii="Arial" w:hAnsi="Arial" w:cs="Arial"/>
          <w:color w:val="000000" w:themeColor="text1"/>
        </w:rPr>
        <w:t>Bireme</w:t>
      </w:r>
      <w:proofErr w:type="spellEnd"/>
      <w:r w:rsidR="002E05AE">
        <w:rPr>
          <w:rFonts w:ascii="Arial" w:hAnsi="Arial" w:cs="Arial"/>
          <w:color w:val="000000" w:themeColor="text1"/>
        </w:rPr>
        <w:t>)</w:t>
      </w:r>
      <w:r w:rsidRPr="007C6C75">
        <w:rPr>
          <w:rFonts w:ascii="Arial" w:hAnsi="Arial" w:cs="Arial"/>
          <w:color w:val="000000" w:themeColor="text1"/>
        </w:rPr>
        <w:t xml:space="preserve"> que avaliem uma série de casos de fraturas complexas do sacro tratadas tardiamente. Dessa forma, o objetivo deste artigo </w:t>
      </w:r>
      <w:r w:rsidRPr="007C6C75">
        <w:rPr>
          <w:rFonts w:ascii="Arial" w:hAnsi="Arial" w:cs="Arial"/>
          <w:color w:val="000000" w:themeColor="text1"/>
        </w:rPr>
        <w:lastRenderedPageBreak/>
        <w:t>é avaliar as indicações cirúrgicas, os dados epidemiológicos, os desfechos radiográficos e as complicações pós</w:t>
      </w:r>
      <w:r w:rsidR="00057BAC">
        <w:rPr>
          <w:rFonts w:ascii="Arial" w:hAnsi="Arial" w:cs="Arial"/>
          <w:color w:val="000000" w:themeColor="text1"/>
        </w:rPr>
        <w:t xml:space="preserve"> </w:t>
      </w:r>
      <w:r w:rsidRPr="007C6C75">
        <w:rPr>
          <w:rFonts w:ascii="Arial" w:hAnsi="Arial" w:cs="Arial"/>
          <w:color w:val="000000" w:themeColor="text1"/>
        </w:rPr>
        <w:t xml:space="preserve">operatórias de uma série de 16 casos de fraturas complexas do sacro tratadas tardiamente utilizando as técnicas de fixação </w:t>
      </w:r>
      <w:proofErr w:type="spellStart"/>
      <w:r w:rsidRPr="007C6C75">
        <w:rPr>
          <w:rFonts w:ascii="Arial" w:hAnsi="Arial" w:cs="Arial"/>
          <w:color w:val="000000" w:themeColor="text1"/>
        </w:rPr>
        <w:t>espinopélvica</w:t>
      </w:r>
      <w:proofErr w:type="spellEnd"/>
      <w:r w:rsidR="00057BAC">
        <w:rPr>
          <w:rFonts w:ascii="Arial" w:hAnsi="Arial" w:cs="Arial"/>
          <w:color w:val="000000" w:themeColor="text1"/>
        </w:rPr>
        <w:t xml:space="preserve"> bilateral</w:t>
      </w:r>
      <w:r w:rsidRPr="007C6C75">
        <w:rPr>
          <w:rFonts w:ascii="Arial" w:hAnsi="Arial" w:cs="Arial"/>
          <w:color w:val="000000" w:themeColor="text1"/>
        </w:rPr>
        <w:t xml:space="preserve"> ou </w:t>
      </w:r>
      <w:proofErr w:type="spellStart"/>
      <w:r w:rsidRPr="007C6C75">
        <w:rPr>
          <w:rFonts w:ascii="Arial" w:hAnsi="Arial" w:cs="Arial"/>
          <w:color w:val="000000" w:themeColor="text1"/>
        </w:rPr>
        <w:t>osteossíntese</w:t>
      </w:r>
      <w:proofErr w:type="spellEnd"/>
      <w:r w:rsidRPr="007C6C75">
        <w:rPr>
          <w:rFonts w:ascii="Arial" w:hAnsi="Arial" w:cs="Arial"/>
          <w:color w:val="000000" w:themeColor="text1"/>
        </w:rPr>
        <w:t xml:space="preserve"> triangular, em um serviço </w:t>
      </w:r>
      <w:r w:rsidR="00057BAC">
        <w:rPr>
          <w:rFonts w:ascii="Arial" w:hAnsi="Arial" w:cs="Arial"/>
          <w:color w:val="000000" w:themeColor="text1"/>
        </w:rPr>
        <w:t xml:space="preserve">de </w:t>
      </w:r>
      <w:r w:rsidR="00057BAC">
        <w:rPr>
          <w:rFonts w:ascii="Arial" w:hAnsi="Arial" w:cs="Arial"/>
        </w:rPr>
        <w:t>referência de casos complexos de traumatologia e ortopedia do sistema público de saúde</w:t>
      </w:r>
      <w:r w:rsidRPr="007C6C75">
        <w:rPr>
          <w:rFonts w:ascii="Arial" w:hAnsi="Arial" w:cs="Arial"/>
          <w:color w:val="000000" w:themeColor="text1"/>
        </w:rPr>
        <w:t>.</w:t>
      </w:r>
    </w:p>
    <w:p w14:paraId="703D6544" w14:textId="7E62CBF3" w:rsidR="009C12A3" w:rsidRPr="009C12A3" w:rsidRDefault="009C12A3" w:rsidP="002E05AE">
      <w:pPr>
        <w:spacing w:line="480" w:lineRule="auto"/>
        <w:jc w:val="both"/>
        <w:rPr>
          <w:rFonts w:ascii="Arial" w:hAnsi="Arial" w:cs="Arial"/>
          <w:color w:val="538135" w:themeColor="accent6" w:themeShade="BF"/>
        </w:rPr>
      </w:pPr>
    </w:p>
    <w:p w14:paraId="40708204" w14:textId="77777777" w:rsidR="009C12A3" w:rsidRDefault="009C12A3" w:rsidP="002E05AE">
      <w:pPr>
        <w:spacing w:line="480" w:lineRule="auto"/>
        <w:jc w:val="both"/>
        <w:rPr>
          <w:rFonts w:ascii="Arial" w:hAnsi="Arial" w:cs="Arial"/>
        </w:rPr>
      </w:pPr>
    </w:p>
    <w:p w14:paraId="55C2B49C" w14:textId="77777777" w:rsidR="003C3AC1" w:rsidRDefault="003C3AC1" w:rsidP="002E05AE">
      <w:pPr>
        <w:spacing w:line="480" w:lineRule="auto"/>
        <w:jc w:val="both"/>
        <w:rPr>
          <w:rFonts w:ascii="Arial" w:hAnsi="Arial" w:cs="Arial"/>
        </w:rPr>
      </w:pPr>
    </w:p>
    <w:p w14:paraId="718BAA1F" w14:textId="7D736F37" w:rsidR="003C3AC1" w:rsidRDefault="003C3AC1" w:rsidP="002E05AE">
      <w:pPr>
        <w:spacing w:line="480" w:lineRule="auto"/>
        <w:jc w:val="both"/>
        <w:rPr>
          <w:rFonts w:ascii="Arial" w:hAnsi="Arial" w:cs="Arial"/>
          <w:b/>
        </w:rPr>
      </w:pPr>
      <w:r w:rsidRPr="00CF782B">
        <w:rPr>
          <w:rFonts w:ascii="Arial" w:hAnsi="Arial" w:cs="Arial"/>
          <w:b/>
        </w:rPr>
        <w:t>MATERIA</w:t>
      </w:r>
      <w:r>
        <w:rPr>
          <w:rFonts w:ascii="Arial" w:hAnsi="Arial" w:cs="Arial"/>
          <w:b/>
        </w:rPr>
        <w:t>L E MÉTODO</w:t>
      </w:r>
      <w:r w:rsidRPr="00CF782B">
        <w:rPr>
          <w:rFonts w:ascii="Arial" w:hAnsi="Arial" w:cs="Arial"/>
          <w:b/>
        </w:rPr>
        <w:t>:</w:t>
      </w:r>
    </w:p>
    <w:p w14:paraId="507E880A" w14:textId="77777777" w:rsidR="003C3AC1" w:rsidRDefault="003C3AC1" w:rsidP="002E05AE">
      <w:pPr>
        <w:spacing w:line="480" w:lineRule="auto"/>
        <w:jc w:val="both"/>
        <w:rPr>
          <w:rFonts w:ascii="Arial" w:hAnsi="Arial" w:cs="Arial"/>
          <w:b/>
        </w:rPr>
      </w:pPr>
    </w:p>
    <w:p w14:paraId="01BD78E8" w14:textId="77777777" w:rsidR="00664BB0" w:rsidRDefault="00664BB0" w:rsidP="002E05AE">
      <w:pPr>
        <w:spacing w:line="480" w:lineRule="auto"/>
        <w:jc w:val="both"/>
        <w:rPr>
          <w:rFonts w:ascii="Arial" w:hAnsi="Arial" w:cs="Arial"/>
          <w:b/>
        </w:rPr>
      </w:pPr>
    </w:p>
    <w:p w14:paraId="5CD3FFDF" w14:textId="77777777" w:rsidR="00664BB0" w:rsidRDefault="00664BB0" w:rsidP="002E05AE">
      <w:pPr>
        <w:spacing w:line="480" w:lineRule="auto"/>
        <w:jc w:val="both"/>
        <w:rPr>
          <w:rFonts w:ascii="Arial" w:hAnsi="Arial" w:cs="Arial"/>
        </w:rPr>
      </w:pPr>
      <w:r w:rsidRPr="00382509">
        <w:rPr>
          <w:rFonts w:ascii="Arial" w:hAnsi="Arial" w:cs="Arial"/>
        </w:rPr>
        <w:t>População de estudo</w:t>
      </w:r>
      <w:r>
        <w:rPr>
          <w:rFonts w:ascii="Arial" w:hAnsi="Arial" w:cs="Arial"/>
        </w:rPr>
        <w:t>:</w:t>
      </w:r>
    </w:p>
    <w:p w14:paraId="0CD4A0DD" w14:textId="6E0F7D30" w:rsidR="00287F7B" w:rsidRPr="00287F7B" w:rsidRDefault="00057BAC" w:rsidP="00287F7B">
      <w:pPr>
        <w:spacing w:line="360" w:lineRule="auto"/>
        <w:jc w:val="both"/>
        <w:rPr>
          <w:rFonts w:ascii="Arial" w:hAnsi="Arial" w:cs="Arial"/>
          <w:color w:val="FF0000"/>
          <w:lang w:val="pt-PT"/>
        </w:rPr>
      </w:pPr>
      <w:r>
        <w:rPr>
          <w:rFonts w:ascii="Arial" w:hAnsi="Arial" w:cs="Arial"/>
          <w:color w:val="000000"/>
          <w:lang w:val="pt-PT"/>
        </w:rPr>
        <w:t xml:space="preserve">  </w:t>
      </w:r>
      <w:r>
        <w:rPr>
          <w:rFonts w:ascii="Arial" w:hAnsi="Arial" w:cs="Arial"/>
          <w:color w:val="000000"/>
          <w:lang w:val="pt-PT"/>
        </w:rPr>
        <w:tab/>
      </w:r>
      <w:r w:rsidR="00287F7B">
        <w:rPr>
          <w:rFonts w:ascii="Arial" w:hAnsi="Arial" w:cs="Arial"/>
          <w:color w:val="000000"/>
          <w:lang w:val="pt-PT"/>
        </w:rPr>
        <w:t>Foi realizado um estudo</w:t>
      </w:r>
      <w:r w:rsidR="00287F7B" w:rsidRPr="00D4336F">
        <w:rPr>
          <w:rFonts w:ascii="Arial" w:hAnsi="Arial" w:cs="Arial"/>
          <w:color w:val="000000"/>
          <w:lang w:val="pt-PT"/>
        </w:rPr>
        <w:t xml:space="preserve"> longitudinal, com base na revisão </w:t>
      </w:r>
      <w:proofErr w:type="spellStart"/>
      <w:r w:rsidR="00287F7B" w:rsidRPr="00D4336F">
        <w:rPr>
          <w:rFonts w:ascii="Arial" w:hAnsi="Arial" w:cs="Arial"/>
          <w:color w:val="000000"/>
          <w:lang w:val="pt-PT"/>
        </w:rPr>
        <w:t>retrospectiva</w:t>
      </w:r>
      <w:proofErr w:type="spellEnd"/>
      <w:r w:rsidR="00287F7B" w:rsidRPr="00D4336F">
        <w:rPr>
          <w:rFonts w:ascii="Arial" w:hAnsi="Arial" w:cs="Arial"/>
          <w:color w:val="000000"/>
          <w:lang w:val="pt-PT"/>
        </w:rPr>
        <w:t xml:space="preserve"> de prontuários de pacientes com diagnóstico de fraturas complexas do sacro</w:t>
      </w:r>
      <w:r w:rsidR="00287F7B">
        <w:rPr>
          <w:rFonts w:ascii="Arial" w:hAnsi="Arial" w:cs="Arial"/>
          <w:color w:val="000000"/>
          <w:lang w:val="pt-PT"/>
        </w:rPr>
        <w:t>, admitidos</w:t>
      </w:r>
      <w:r w:rsidR="00287F7B" w:rsidRPr="00D4336F">
        <w:rPr>
          <w:rFonts w:ascii="Arial" w:hAnsi="Arial" w:cs="Arial"/>
          <w:color w:val="000000"/>
          <w:lang w:val="pt-PT"/>
        </w:rPr>
        <w:t xml:space="preserve"> </w:t>
      </w:r>
      <w:r w:rsidR="00287F7B">
        <w:rPr>
          <w:rFonts w:ascii="Arial" w:hAnsi="Arial" w:cs="Arial"/>
          <w:color w:val="000000"/>
          <w:lang w:val="pt-PT"/>
        </w:rPr>
        <w:t>em um serviço quaternário de Ortopedia e Traumatologia</w:t>
      </w:r>
      <w:r w:rsidR="00287F7B" w:rsidRPr="00D4336F">
        <w:rPr>
          <w:rFonts w:ascii="Arial" w:hAnsi="Arial" w:cs="Arial"/>
          <w:color w:val="000000"/>
          <w:lang w:val="pt-PT"/>
        </w:rPr>
        <w:t xml:space="preserve">, em amostragem por conveniência consecutiva, </w:t>
      </w:r>
      <w:r w:rsidR="00287F7B">
        <w:rPr>
          <w:rFonts w:ascii="Arial" w:hAnsi="Arial" w:cs="Arial"/>
          <w:color w:val="000000"/>
          <w:lang w:val="pt-PT"/>
        </w:rPr>
        <w:t>entre 01 de janeiro de 2014 e 01 de julho de 2020. Foram incluídos</w:t>
      </w:r>
      <w:r w:rsidR="00287F7B" w:rsidRPr="00D4336F">
        <w:rPr>
          <w:rFonts w:ascii="Arial" w:hAnsi="Arial" w:cs="Arial"/>
          <w:color w:val="000000"/>
          <w:lang w:val="pt-PT"/>
        </w:rPr>
        <w:t xml:space="preserve"> todos os pacientes acima de 18 anos submetidos ao tratamento cirúrgico</w:t>
      </w:r>
      <w:r w:rsidR="00287F7B">
        <w:rPr>
          <w:rFonts w:ascii="Arial" w:hAnsi="Arial" w:cs="Arial"/>
          <w:color w:val="000000"/>
          <w:lang w:val="pt-PT"/>
        </w:rPr>
        <w:t>, cujo tempo de evolução entre o trauma e o procedimento cirúrgico foi maior ou igual a três semanas</w:t>
      </w:r>
      <w:r w:rsidR="00287F7B" w:rsidRPr="00D4336F">
        <w:rPr>
          <w:rFonts w:ascii="Arial" w:hAnsi="Arial" w:cs="Arial"/>
          <w:color w:val="000000"/>
          <w:lang w:val="pt-PT"/>
        </w:rPr>
        <w:t xml:space="preserve">. </w:t>
      </w:r>
      <w:r w:rsidR="00287F7B">
        <w:rPr>
          <w:rFonts w:ascii="Arial" w:hAnsi="Arial" w:cs="Arial"/>
          <w:color w:val="000000"/>
          <w:lang w:val="pt-PT"/>
        </w:rPr>
        <w:t>Foram</w:t>
      </w:r>
      <w:r w:rsidR="00287F7B" w:rsidRPr="00D4336F">
        <w:rPr>
          <w:rFonts w:ascii="Arial" w:hAnsi="Arial" w:cs="Arial"/>
          <w:color w:val="000000"/>
          <w:lang w:val="pt-PT"/>
        </w:rPr>
        <w:t xml:space="preserve"> excluídos</w:t>
      </w:r>
      <w:r w:rsidR="00287F7B">
        <w:rPr>
          <w:rFonts w:ascii="Arial" w:hAnsi="Arial" w:cs="Arial"/>
          <w:color w:val="000000"/>
          <w:lang w:val="pt-PT"/>
        </w:rPr>
        <w:t xml:space="preserve"> </w:t>
      </w:r>
      <w:r w:rsidR="00287F7B" w:rsidRPr="00D4336F">
        <w:rPr>
          <w:rFonts w:ascii="Arial" w:hAnsi="Arial" w:cs="Arial"/>
          <w:color w:val="000000"/>
          <w:lang w:val="pt-PT"/>
        </w:rPr>
        <w:t>pacientes que sofreram traumas de baixa energia</w:t>
      </w:r>
      <w:r w:rsidR="00287F7B">
        <w:rPr>
          <w:rFonts w:ascii="Arial" w:hAnsi="Arial" w:cs="Arial"/>
          <w:color w:val="000000"/>
          <w:lang w:val="pt-PT"/>
        </w:rPr>
        <w:t xml:space="preserve">, pacientes com </w:t>
      </w:r>
      <w:r w:rsidR="00287F7B" w:rsidRPr="00D4336F">
        <w:rPr>
          <w:rFonts w:ascii="Arial" w:hAnsi="Arial" w:cs="Arial"/>
          <w:color w:val="000000"/>
          <w:lang w:val="pt-PT"/>
        </w:rPr>
        <w:t>fratura</w:t>
      </w:r>
      <w:r w:rsidR="00287F7B">
        <w:rPr>
          <w:rFonts w:ascii="Arial" w:hAnsi="Arial" w:cs="Arial"/>
          <w:color w:val="000000"/>
          <w:lang w:val="pt-PT"/>
        </w:rPr>
        <w:t>s</w:t>
      </w:r>
      <w:r w:rsidR="00287F7B" w:rsidRPr="00D4336F">
        <w:rPr>
          <w:rFonts w:ascii="Arial" w:hAnsi="Arial" w:cs="Arial"/>
          <w:color w:val="000000"/>
          <w:lang w:val="pt-PT"/>
        </w:rPr>
        <w:t xml:space="preserve"> decorrente</w:t>
      </w:r>
      <w:r w:rsidR="00287F7B">
        <w:rPr>
          <w:rFonts w:ascii="Arial" w:hAnsi="Arial" w:cs="Arial"/>
          <w:color w:val="000000"/>
          <w:lang w:val="pt-PT"/>
        </w:rPr>
        <w:t>s</w:t>
      </w:r>
      <w:r w:rsidR="00287F7B" w:rsidRPr="00D4336F">
        <w:rPr>
          <w:rFonts w:ascii="Arial" w:hAnsi="Arial" w:cs="Arial"/>
          <w:color w:val="000000"/>
          <w:lang w:val="pt-PT"/>
        </w:rPr>
        <w:t xml:space="preserve"> de neoplasia avançada</w:t>
      </w:r>
      <w:r w:rsidR="00287F7B">
        <w:rPr>
          <w:rFonts w:ascii="Arial" w:hAnsi="Arial" w:cs="Arial"/>
          <w:color w:val="000000"/>
          <w:lang w:val="pt-PT"/>
        </w:rPr>
        <w:t xml:space="preserve">, </w:t>
      </w:r>
      <w:r w:rsidR="00287F7B" w:rsidRPr="00D4336F">
        <w:rPr>
          <w:rFonts w:ascii="Arial" w:hAnsi="Arial" w:cs="Arial"/>
          <w:color w:val="000000"/>
          <w:lang w:val="pt-PT"/>
        </w:rPr>
        <w:t>pacientes com fraturas complexas do sacro em que foram utilizadas técnicas cirúrgicas diferentes da osteossíntese triangular</w:t>
      </w:r>
      <w:r w:rsidR="00287F7B">
        <w:rPr>
          <w:rFonts w:ascii="Arial" w:hAnsi="Arial" w:cs="Arial"/>
          <w:color w:val="000000"/>
          <w:lang w:val="pt-PT"/>
        </w:rPr>
        <w:t xml:space="preserve"> do sacro (OT) ou fixação </w:t>
      </w:r>
      <w:proofErr w:type="spellStart"/>
      <w:r w:rsidR="00287F7B" w:rsidRPr="00287F7B">
        <w:rPr>
          <w:rFonts w:ascii="Arial" w:hAnsi="Arial" w:cs="Arial"/>
          <w:color w:val="000000" w:themeColor="text1"/>
          <w:lang w:val="pt-PT"/>
        </w:rPr>
        <w:t>espinopélvica</w:t>
      </w:r>
      <w:proofErr w:type="spellEnd"/>
      <w:r w:rsidR="00287F7B" w:rsidRPr="00287F7B">
        <w:rPr>
          <w:rFonts w:ascii="Arial" w:hAnsi="Arial" w:cs="Arial"/>
          <w:color w:val="000000" w:themeColor="text1"/>
          <w:lang w:val="pt-PT"/>
        </w:rPr>
        <w:t xml:space="preserve"> bilateral (FEP) e que tiveram um seguimento </w:t>
      </w:r>
      <w:proofErr w:type="spellStart"/>
      <w:r w:rsidR="00287F7B" w:rsidRPr="00287F7B">
        <w:rPr>
          <w:rFonts w:ascii="Arial" w:hAnsi="Arial" w:cs="Arial"/>
          <w:color w:val="000000" w:themeColor="text1"/>
          <w:lang w:val="pt-PT"/>
        </w:rPr>
        <w:t>ambulatorial</w:t>
      </w:r>
      <w:proofErr w:type="spellEnd"/>
      <w:r w:rsidR="00287F7B" w:rsidRPr="00287F7B">
        <w:rPr>
          <w:rFonts w:ascii="Arial" w:hAnsi="Arial" w:cs="Arial"/>
          <w:color w:val="000000" w:themeColor="text1"/>
          <w:lang w:val="pt-PT"/>
        </w:rPr>
        <w:t xml:space="preserve"> menor que 12 meses.</w:t>
      </w:r>
      <w:r w:rsidR="00287F7B">
        <w:rPr>
          <w:rFonts w:ascii="Arial" w:hAnsi="Arial" w:cs="Arial"/>
          <w:color w:val="FF0000"/>
          <w:lang w:val="pt-PT"/>
        </w:rPr>
        <w:tab/>
      </w:r>
    </w:p>
    <w:p w14:paraId="01658C61" w14:textId="4569862F" w:rsidR="00664BB0" w:rsidRDefault="00664BB0" w:rsidP="00287F7B">
      <w:pPr>
        <w:spacing w:line="480" w:lineRule="auto"/>
        <w:ind w:firstLine="708"/>
        <w:jc w:val="both"/>
        <w:rPr>
          <w:rFonts w:ascii="AdvTT31ea7dbe" w:hAnsi="AdvTT31ea7dbe"/>
          <w:sz w:val="18"/>
          <w:szCs w:val="18"/>
        </w:rPr>
      </w:pPr>
      <w:r w:rsidRPr="00664BB0">
        <w:rPr>
          <w:rFonts w:ascii="Arial" w:hAnsi="Arial" w:cs="Arial"/>
          <w:color w:val="000000"/>
          <w:lang w:val="pt-PT"/>
        </w:rPr>
        <w:t xml:space="preserve">Para o diagnóstico das lesões bem como para o planejamento cirúrgico foram realizadas radiografias </w:t>
      </w:r>
      <w:r w:rsidRPr="00664BB0">
        <w:rPr>
          <w:rFonts w:ascii="Arial" w:hAnsi="Arial" w:cs="Arial"/>
        </w:rPr>
        <w:t xml:space="preserve">nas </w:t>
      </w:r>
      <w:proofErr w:type="spellStart"/>
      <w:r w:rsidRPr="00664BB0">
        <w:rPr>
          <w:rFonts w:ascii="Arial" w:hAnsi="Arial" w:cs="Arial"/>
        </w:rPr>
        <w:t>incidências</w:t>
      </w:r>
      <w:proofErr w:type="spellEnd"/>
      <w:r w:rsidRPr="00664BB0">
        <w:rPr>
          <w:rFonts w:ascii="Arial" w:hAnsi="Arial" w:cs="Arial"/>
        </w:rPr>
        <w:t xml:space="preserve"> anteroposterior (AP) e perfil (P) do </w:t>
      </w:r>
      <w:r w:rsidRPr="00664BB0">
        <w:rPr>
          <w:rFonts w:ascii="Arial" w:hAnsi="Arial" w:cs="Arial"/>
        </w:rPr>
        <w:lastRenderedPageBreak/>
        <w:t xml:space="preserve">sacro, </w:t>
      </w:r>
      <w:proofErr w:type="spellStart"/>
      <w:r w:rsidRPr="00664BB0">
        <w:rPr>
          <w:rFonts w:ascii="Arial" w:hAnsi="Arial" w:cs="Arial"/>
        </w:rPr>
        <w:t>inlet</w:t>
      </w:r>
      <w:proofErr w:type="spellEnd"/>
      <w:r w:rsidRPr="00664BB0">
        <w:rPr>
          <w:rFonts w:ascii="Arial" w:hAnsi="Arial" w:cs="Arial"/>
        </w:rPr>
        <w:t xml:space="preserve"> e </w:t>
      </w:r>
      <w:proofErr w:type="spellStart"/>
      <w:r w:rsidRPr="00664BB0">
        <w:rPr>
          <w:rFonts w:ascii="Arial" w:hAnsi="Arial" w:cs="Arial"/>
        </w:rPr>
        <w:t>outlet</w:t>
      </w:r>
      <w:proofErr w:type="spellEnd"/>
      <w:r w:rsidRPr="00664BB0">
        <w:rPr>
          <w:rFonts w:ascii="Arial" w:hAnsi="Arial" w:cs="Arial"/>
        </w:rPr>
        <w:t xml:space="preserve"> da bacia, </w:t>
      </w:r>
      <w:proofErr w:type="spellStart"/>
      <w:r w:rsidRPr="00664BB0">
        <w:rPr>
          <w:rFonts w:ascii="Arial" w:hAnsi="Arial" w:cs="Arial"/>
        </w:rPr>
        <w:t>além</w:t>
      </w:r>
      <w:proofErr w:type="spellEnd"/>
      <w:r w:rsidRPr="00664BB0">
        <w:rPr>
          <w:rFonts w:ascii="Arial" w:hAnsi="Arial" w:cs="Arial"/>
        </w:rPr>
        <w:t xml:space="preserve"> de tomografias computadorizadas (TC) com </w:t>
      </w:r>
      <w:proofErr w:type="spellStart"/>
      <w:r w:rsidRPr="00664BB0">
        <w:rPr>
          <w:rFonts w:ascii="Arial" w:hAnsi="Arial" w:cs="Arial"/>
        </w:rPr>
        <w:t>reconstruções</w:t>
      </w:r>
      <w:proofErr w:type="spellEnd"/>
      <w:r w:rsidRPr="00664BB0">
        <w:rPr>
          <w:rFonts w:ascii="Arial" w:hAnsi="Arial" w:cs="Arial"/>
        </w:rPr>
        <w:t xml:space="preserve"> tridimensionais</w:t>
      </w:r>
      <w:r w:rsidRPr="00664BB0">
        <w:rPr>
          <w:rFonts w:ascii="AdvTT31ea7dbe" w:hAnsi="AdvTT31ea7dbe"/>
          <w:sz w:val="18"/>
          <w:szCs w:val="18"/>
        </w:rPr>
        <w:t>.</w:t>
      </w:r>
    </w:p>
    <w:p w14:paraId="2FC727B3" w14:textId="417F28CF" w:rsidR="00664BB0" w:rsidRDefault="00057BAC" w:rsidP="002E05AE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="00664BB0">
        <w:rPr>
          <w:rFonts w:ascii="Arial" w:hAnsi="Arial" w:cs="Arial"/>
        </w:rPr>
        <w:t>O presente estudo foi aprovado pelo Comitê de Ética e Pesquisa (CAAE.</w:t>
      </w:r>
      <w:r w:rsidR="00664BB0" w:rsidRPr="00184399">
        <w:t xml:space="preserve"> </w:t>
      </w:r>
      <w:r w:rsidR="00664BB0" w:rsidRPr="00184399">
        <w:rPr>
          <w:rFonts w:ascii="Arial" w:hAnsi="Arial" w:cs="Arial"/>
        </w:rPr>
        <w:t>39419620.9.0000.5273</w:t>
      </w:r>
      <w:r w:rsidR="00664BB0">
        <w:rPr>
          <w:rFonts w:ascii="Arial" w:hAnsi="Arial" w:cs="Arial"/>
        </w:rPr>
        <w:t>).</w:t>
      </w:r>
    </w:p>
    <w:p w14:paraId="0C5D68DC" w14:textId="77777777" w:rsidR="00723B6A" w:rsidRDefault="00723B6A" w:rsidP="002E05AE">
      <w:pPr>
        <w:spacing w:line="480" w:lineRule="auto"/>
        <w:jc w:val="both"/>
        <w:rPr>
          <w:rFonts w:ascii="Arial" w:hAnsi="Arial" w:cs="Arial"/>
        </w:rPr>
      </w:pPr>
    </w:p>
    <w:p w14:paraId="588425EA" w14:textId="3C8757D6" w:rsidR="003C3AC1" w:rsidRPr="003C3AC1" w:rsidRDefault="003C3AC1" w:rsidP="002E05AE">
      <w:pPr>
        <w:spacing w:line="480" w:lineRule="auto"/>
        <w:jc w:val="both"/>
        <w:rPr>
          <w:lang w:val="pt-PT"/>
        </w:rPr>
      </w:pPr>
      <w:r>
        <w:rPr>
          <w:rFonts w:ascii="Arial" w:hAnsi="Arial" w:cs="Arial"/>
        </w:rPr>
        <w:t>Procedimentos:</w:t>
      </w:r>
    </w:p>
    <w:p w14:paraId="60AF76D2" w14:textId="77777777" w:rsidR="003C3AC1" w:rsidRDefault="003C3AC1" w:rsidP="002E05AE">
      <w:pPr>
        <w:pStyle w:val="NormalWeb"/>
        <w:spacing w:line="480" w:lineRule="auto"/>
        <w:jc w:val="both"/>
        <w:rPr>
          <w:rFonts w:ascii="Arial" w:hAnsi="Arial" w:cs="Arial"/>
          <w:b/>
          <w:bCs/>
          <w:color w:val="000000" w:themeColor="text1"/>
        </w:rPr>
      </w:pPr>
      <w:proofErr w:type="spellStart"/>
      <w:r w:rsidRPr="007127F0">
        <w:rPr>
          <w:rFonts w:ascii="Arial" w:hAnsi="Arial" w:cs="Arial"/>
          <w:b/>
          <w:bCs/>
          <w:color w:val="000000" w:themeColor="text1"/>
        </w:rPr>
        <w:t>Osteoss</w:t>
      </w:r>
      <w:r>
        <w:rPr>
          <w:rFonts w:ascii="Arial" w:hAnsi="Arial" w:cs="Arial"/>
          <w:b/>
          <w:bCs/>
          <w:color w:val="000000" w:themeColor="text1"/>
        </w:rPr>
        <w:t>í</w:t>
      </w:r>
      <w:r w:rsidRPr="007127F0">
        <w:rPr>
          <w:rFonts w:ascii="Arial" w:hAnsi="Arial" w:cs="Arial"/>
          <w:b/>
          <w:bCs/>
          <w:color w:val="000000" w:themeColor="text1"/>
        </w:rPr>
        <w:t>ntese</w:t>
      </w:r>
      <w:proofErr w:type="spellEnd"/>
      <w:r w:rsidRPr="007127F0">
        <w:rPr>
          <w:rFonts w:ascii="Arial" w:hAnsi="Arial" w:cs="Arial"/>
          <w:b/>
          <w:bCs/>
          <w:color w:val="000000" w:themeColor="text1"/>
        </w:rPr>
        <w:t xml:space="preserve"> triangular: </w:t>
      </w:r>
    </w:p>
    <w:p w14:paraId="1C144B33" w14:textId="69C3579A" w:rsidR="00287F7B" w:rsidRPr="00287F7B" w:rsidRDefault="00723B6A" w:rsidP="00287F7B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723B6A">
        <w:rPr>
          <w:rFonts w:ascii="Arial" w:hAnsi="Arial" w:cs="Arial"/>
          <w:color w:val="000000" w:themeColor="text1"/>
        </w:rPr>
        <w:t xml:space="preserve">Técnica </w:t>
      </w:r>
      <w:r w:rsidR="00555A71">
        <w:rPr>
          <w:rFonts w:ascii="Arial" w:hAnsi="Arial" w:cs="Arial"/>
          <w:color w:val="000000" w:themeColor="text1"/>
        </w:rPr>
        <w:t xml:space="preserve">utilizada </w:t>
      </w:r>
      <w:r w:rsidRPr="00723B6A">
        <w:rPr>
          <w:rFonts w:ascii="Arial" w:hAnsi="Arial" w:cs="Arial"/>
          <w:color w:val="000000" w:themeColor="text1"/>
        </w:rPr>
        <w:t xml:space="preserve">para os casos de fraturas </w:t>
      </w:r>
      <w:proofErr w:type="spellStart"/>
      <w:r w:rsidRPr="00723B6A">
        <w:rPr>
          <w:rFonts w:ascii="Arial" w:hAnsi="Arial" w:cs="Arial"/>
          <w:color w:val="000000" w:themeColor="text1"/>
        </w:rPr>
        <w:t>transforaminais</w:t>
      </w:r>
      <w:proofErr w:type="spellEnd"/>
      <w:r w:rsidRPr="00723B6A">
        <w:rPr>
          <w:rFonts w:ascii="Arial" w:hAnsi="Arial" w:cs="Arial"/>
          <w:color w:val="000000" w:themeColor="text1"/>
        </w:rPr>
        <w:t xml:space="preserve"> unilaterais e luxações sacro-ilíacas com ascensão vertical da </w:t>
      </w:r>
      <w:proofErr w:type="spellStart"/>
      <w:r w:rsidRPr="00723B6A">
        <w:rPr>
          <w:rFonts w:ascii="Arial" w:hAnsi="Arial" w:cs="Arial"/>
          <w:color w:val="000000" w:themeColor="text1"/>
        </w:rPr>
        <w:t>hemipelve</w:t>
      </w:r>
      <w:proofErr w:type="spellEnd"/>
      <w:r w:rsidRPr="00723B6A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3C3AC1">
        <w:rPr>
          <w:rFonts w:ascii="Arial" w:hAnsi="Arial" w:cs="Arial"/>
          <w:color w:val="000000" w:themeColor="text1"/>
        </w:rPr>
        <w:t xml:space="preserve">Realizada por meio de abordagem mediana com dissecção profunda e exposição unilateral dos níveis vertebrais L4, L5, sacro e espinha ilíaca póstero-superior (EIPS). Foram </w:t>
      </w:r>
      <w:r w:rsidR="003C3AC1" w:rsidRPr="00287F7B">
        <w:rPr>
          <w:rFonts w:ascii="Arial" w:hAnsi="Arial" w:cs="Arial"/>
          <w:color w:val="000000" w:themeColor="text1"/>
        </w:rPr>
        <w:t xml:space="preserve">inseridos parafusos </w:t>
      </w:r>
      <w:proofErr w:type="spellStart"/>
      <w:r w:rsidR="003C3AC1" w:rsidRPr="00287F7B">
        <w:rPr>
          <w:rFonts w:ascii="Arial" w:hAnsi="Arial" w:cs="Arial"/>
          <w:color w:val="000000" w:themeColor="text1"/>
        </w:rPr>
        <w:t>pediculares</w:t>
      </w:r>
      <w:proofErr w:type="spellEnd"/>
      <w:r w:rsidR="003C3AC1" w:rsidRPr="00287F7B">
        <w:rPr>
          <w:rFonts w:ascii="Arial" w:hAnsi="Arial" w:cs="Arial"/>
          <w:color w:val="000000" w:themeColor="text1"/>
        </w:rPr>
        <w:t xml:space="preserve"> </w:t>
      </w:r>
      <w:proofErr w:type="spellStart"/>
      <w:r w:rsidR="003C3AC1" w:rsidRPr="00287F7B">
        <w:rPr>
          <w:rFonts w:ascii="Arial" w:hAnsi="Arial" w:cs="Arial"/>
          <w:color w:val="000000" w:themeColor="text1"/>
        </w:rPr>
        <w:t>poliaxiais</w:t>
      </w:r>
      <w:proofErr w:type="spellEnd"/>
      <w:r w:rsidR="003C3AC1" w:rsidRPr="00287F7B">
        <w:rPr>
          <w:rFonts w:ascii="Arial" w:hAnsi="Arial" w:cs="Arial"/>
          <w:color w:val="000000" w:themeColor="text1"/>
        </w:rPr>
        <w:t xml:space="preserve"> nas vértebras</w:t>
      </w:r>
      <w:r w:rsidR="00287F7B" w:rsidRPr="00287F7B">
        <w:rPr>
          <w:rFonts w:ascii="Arial" w:hAnsi="Arial" w:cs="Arial"/>
          <w:color w:val="000000" w:themeColor="text1"/>
        </w:rPr>
        <w:t xml:space="preserve"> L5 e em S1 (quando o traço de fratura permitiu), bem como um ou dois parafusos </w:t>
      </w:r>
      <w:proofErr w:type="spellStart"/>
      <w:r w:rsidR="00287F7B" w:rsidRPr="00287F7B">
        <w:rPr>
          <w:rFonts w:ascii="Arial" w:hAnsi="Arial" w:cs="Arial"/>
          <w:color w:val="000000" w:themeColor="text1"/>
        </w:rPr>
        <w:t>poliaxiais</w:t>
      </w:r>
      <w:proofErr w:type="spellEnd"/>
      <w:r w:rsidR="00287F7B" w:rsidRPr="00287F7B">
        <w:rPr>
          <w:rFonts w:ascii="Arial" w:hAnsi="Arial" w:cs="Arial"/>
          <w:color w:val="000000" w:themeColor="text1"/>
        </w:rPr>
        <w:t xml:space="preserve"> no ilíaco, entre as tábuas interna e externa, associados a um parafuso </w:t>
      </w:r>
      <w:proofErr w:type="spellStart"/>
      <w:r w:rsidR="00287F7B" w:rsidRPr="00287F7B">
        <w:rPr>
          <w:rFonts w:ascii="Arial" w:hAnsi="Arial" w:cs="Arial"/>
          <w:color w:val="000000" w:themeColor="text1"/>
        </w:rPr>
        <w:t>iliossacral</w:t>
      </w:r>
      <w:proofErr w:type="spellEnd"/>
      <w:r w:rsidR="00287F7B" w:rsidRPr="00287F7B">
        <w:rPr>
          <w:rFonts w:ascii="Arial" w:hAnsi="Arial" w:cs="Arial"/>
          <w:color w:val="000000" w:themeColor="text1"/>
        </w:rPr>
        <w:t xml:space="preserve"> percutâneo.  </w:t>
      </w:r>
    </w:p>
    <w:p w14:paraId="51959E32" w14:textId="77777777" w:rsidR="00287F7B" w:rsidRPr="00287F7B" w:rsidRDefault="00287F7B" w:rsidP="00287F7B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287F7B">
        <w:rPr>
          <w:rFonts w:ascii="Arial" w:hAnsi="Arial" w:cs="Arial"/>
          <w:color w:val="000000" w:themeColor="text1"/>
        </w:rPr>
        <w:t xml:space="preserve">Nas fraturas com desvio maior de 1,0 cm foi realizada a </w:t>
      </w:r>
      <w:proofErr w:type="spellStart"/>
      <w:r w:rsidRPr="00287F7B">
        <w:rPr>
          <w:rFonts w:ascii="Arial" w:hAnsi="Arial" w:cs="Arial"/>
          <w:color w:val="000000" w:themeColor="text1"/>
        </w:rPr>
        <w:t>osteotomia</w:t>
      </w:r>
      <w:proofErr w:type="spellEnd"/>
      <w:r w:rsidRPr="00287F7B">
        <w:rPr>
          <w:rFonts w:ascii="Arial" w:hAnsi="Arial" w:cs="Arial"/>
          <w:color w:val="000000" w:themeColor="text1"/>
        </w:rPr>
        <w:t xml:space="preserve"> da consolidação viciosa (quando necessário), a redução indireta com auxílio de pinças de redução e a tração cutânea unilateral com 4 a 7 kg. Os casos com déficit neurológico e compressão nervosa evidenciada através dos exames de imagem foram submetidos à remoção de fragmentos ósseos do canal e/ou </w:t>
      </w:r>
      <w:proofErr w:type="spellStart"/>
      <w:r w:rsidRPr="00287F7B">
        <w:rPr>
          <w:rFonts w:ascii="Arial" w:hAnsi="Arial" w:cs="Arial"/>
          <w:color w:val="000000" w:themeColor="text1"/>
        </w:rPr>
        <w:t>foraminoplastia</w:t>
      </w:r>
      <w:proofErr w:type="spellEnd"/>
      <w:r w:rsidRPr="00287F7B">
        <w:rPr>
          <w:rFonts w:ascii="Arial" w:hAnsi="Arial" w:cs="Arial"/>
          <w:color w:val="000000" w:themeColor="text1"/>
        </w:rPr>
        <w:t xml:space="preserve">, de acordo com suas particularidades. Após a instrumentação, realinhamento e descompressão nervosa foi acoplada uma haste de titânio pré-moldada e realizada manobra de distração para correção do desvio vertical, travando o sistema. O parafuso </w:t>
      </w:r>
      <w:proofErr w:type="spellStart"/>
      <w:r w:rsidRPr="00287F7B">
        <w:rPr>
          <w:rFonts w:ascii="Arial" w:hAnsi="Arial" w:cs="Arial"/>
          <w:color w:val="000000" w:themeColor="text1"/>
        </w:rPr>
        <w:t>iliossacral</w:t>
      </w:r>
      <w:proofErr w:type="spellEnd"/>
      <w:r w:rsidRPr="00287F7B">
        <w:rPr>
          <w:rFonts w:ascii="Arial" w:hAnsi="Arial" w:cs="Arial"/>
          <w:color w:val="000000" w:themeColor="text1"/>
        </w:rPr>
        <w:t xml:space="preserve"> foi colocado de maneira percutânea após o realinhamento da fratura. </w:t>
      </w:r>
    </w:p>
    <w:p w14:paraId="075E2296" w14:textId="73E2C69E" w:rsidR="003C3AC1" w:rsidRDefault="003C3AC1" w:rsidP="00287F7B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7068E739" w14:textId="556FDCF8" w:rsidR="003C3AC1" w:rsidRPr="003C3AC1" w:rsidRDefault="003C3AC1" w:rsidP="00555A71">
      <w:pPr>
        <w:pStyle w:val="NormalWeb"/>
        <w:spacing w:line="48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7127F0">
        <w:rPr>
          <w:rFonts w:ascii="Arial" w:hAnsi="Arial" w:cs="Arial"/>
          <w:b/>
          <w:bCs/>
          <w:color w:val="000000" w:themeColor="text1"/>
        </w:rPr>
        <w:lastRenderedPageBreak/>
        <w:t xml:space="preserve">Fixação </w:t>
      </w:r>
      <w:proofErr w:type="spellStart"/>
      <w:r w:rsidRPr="007127F0">
        <w:rPr>
          <w:rFonts w:ascii="Arial" w:hAnsi="Arial" w:cs="Arial"/>
          <w:b/>
          <w:bCs/>
          <w:color w:val="000000" w:themeColor="text1"/>
        </w:rPr>
        <w:t>Espinopélvica</w:t>
      </w:r>
      <w:proofErr w:type="spellEnd"/>
      <w:r w:rsidRPr="007127F0">
        <w:rPr>
          <w:rFonts w:ascii="Arial" w:hAnsi="Arial" w:cs="Arial"/>
          <w:b/>
          <w:bCs/>
          <w:color w:val="000000" w:themeColor="text1"/>
        </w:rPr>
        <w:t>:</w:t>
      </w:r>
    </w:p>
    <w:p w14:paraId="563F6CF2" w14:textId="6EF837EB" w:rsidR="003C3AC1" w:rsidRDefault="003C3AC1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723B6A" w:rsidRPr="00723B6A">
        <w:rPr>
          <w:rFonts w:ascii="Arial" w:hAnsi="Arial" w:cs="Arial"/>
        </w:rPr>
        <w:t>Técnica de escolha para os casos de fraturas verticais do sacro bilaterais ou verticais unilaterais associadas a um traço transverso</w:t>
      </w:r>
      <w:r w:rsidR="00723B6A" w:rsidRPr="00723B6A">
        <w:rPr>
          <w:rFonts w:ascii="Arial" w:hAnsi="Arial" w:cs="Arial"/>
          <w:color w:val="000000" w:themeColor="text1"/>
        </w:rPr>
        <w:t>.</w:t>
      </w:r>
      <w:r w:rsidR="00723B6A">
        <w:rPr>
          <w:rFonts w:ascii="Arial" w:hAnsi="Arial" w:cs="Arial"/>
          <w:color w:val="000000" w:themeColor="text1"/>
        </w:rPr>
        <w:t xml:space="preserve"> </w:t>
      </w:r>
      <w:r w:rsidR="00E75BDB">
        <w:rPr>
          <w:rFonts w:ascii="Arial" w:hAnsi="Arial" w:cs="Arial"/>
          <w:color w:val="000000" w:themeColor="text1"/>
        </w:rPr>
        <w:t xml:space="preserve">Realizado acesso cirúrgico longitudinal em linha média posterior e exposição bilateral dos níveis vertebrais L4, L5, sacro e EIPS, seguido pela </w:t>
      </w:r>
      <w:r>
        <w:rPr>
          <w:rFonts w:ascii="Arial" w:hAnsi="Arial" w:cs="Arial"/>
          <w:color w:val="000000" w:themeColor="text1"/>
        </w:rPr>
        <w:t xml:space="preserve">instrumentação bilateral e simétrica com parafusos </w:t>
      </w:r>
      <w:proofErr w:type="spellStart"/>
      <w:r>
        <w:rPr>
          <w:rFonts w:ascii="Arial" w:hAnsi="Arial" w:cs="Arial"/>
          <w:color w:val="000000" w:themeColor="text1"/>
        </w:rPr>
        <w:t>pediculares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poliaxiais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="00287F7B">
        <w:rPr>
          <w:rFonts w:ascii="Arial" w:hAnsi="Arial" w:cs="Arial"/>
          <w:color w:val="000000" w:themeColor="text1"/>
        </w:rPr>
        <w:t xml:space="preserve">nas </w:t>
      </w:r>
      <w:proofErr w:type="spellStart"/>
      <w:r w:rsidR="00287F7B">
        <w:rPr>
          <w:rFonts w:ascii="Arial" w:hAnsi="Arial" w:cs="Arial"/>
          <w:color w:val="000000" w:themeColor="text1"/>
        </w:rPr>
        <w:t>vétebras</w:t>
      </w:r>
      <w:proofErr w:type="spellEnd"/>
      <w:r>
        <w:rPr>
          <w:rFonts w:ascii="Arial" w:hAnsi="Arial" w:cs="Arial"/>
          <w:color w:val="000000" w:themeColor="text1"/>
        </w:rPr>
        <w:t xml:space="preserve"> L5</w:t>
      </w:r>
      <w:r w:rsidR="00287F7B">
        <w:rPr>
          <w:rFonts w:ascii="Arial" w:hAnsi="Arial" w:cs="Arial"/>
          <w:color w:val="000000" w:themeColor="text1"/>
        </w:rPr>
        <w:t xml:space="preserve"> e S1 (quando o traço de fratura permitiu)</w:t>
      </w:r>
      <w:r>
        <w:rPr>
          <w:rFonts w:ascii="Arial" w:hAnsi="Arial" w:cs="Arial"/>
          <w:color w:val="000000" w:themeColor="text1"/>
        </w:rPr>
        <w:t xml:space="preserve">, além de um ou dois parafusos </w:t>
      </w:r>
      <w:proofErr w:type="spellStart"/>
      <w:r>
        <w:rPr>
          <w:rFonts w:ascii="Arial" w:hAnsi="Arial" w:cs="Arial"/>
          <w:color w:val="000000" w:themeColor="text1"/>
        </w:rPr>
        <w:t>poliaxiais</w:t>
      </w:r>
      <w:proofErr w:type="spellEnd"/>
      <w:r>
        <w:rPr>
          <w:rFonts w:ascii="Arial" w:hAnsi="Arial" w:cs="Arial"/>
          <w:color w:val="000000" w:themeColor="text1"/>
        </w:rPr>
        <w:t xml:space="preserve"> no ilíaco. </w:t>
      </w:r>
    </w:p>
    <w:p w14:paraId="7B1A0ED7" w14:textId="601769B3" w:rsidR="003C3AC1" w:rsidRDefault="003C3AC1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Quando necessário foi feita a osteotomia da consolidação viciosa, além da redução indireta da fratura com auxílio de pinças de redução e tração. Os casos com déficit neurológico e compressão nervosa evidenciada através dos exames de imagem foram submetidos à </w:t>
      </w:r>
      <w:proofErr w:type="spellStart"/>
      <w:r>
        <w:rPr>
          <w:rFonts w:ascii="Arial" w:hAnsi="Arial" w:cs="Arial"/>
          <w:color w:val="000000" w:themeColor="text1"/>
        </w:rPr>
        <w:t>laminectomia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descompressiva</w:t>
      </w:r>
      <w:proofErr w:type="spellEnd"/>
      <w:r>
        <w:rPr>
          <w:rFonts w:ascii="Arial" w:hAnsi="Arial" w:cs="Arial"/>
          <w:color w:val="000000" w:themeColor="text1"/>
        </w:rPr>
        <w:t xml:space="preserve">, remoção de fragmentos ósseos do canal e/ou </w:t>
      </w:r>
      <w:proofErr w:type="spellStart"/>
      <w:r>
        <w:rPr>
          <w:rFonts w:ascii="Arial" w:hAnsi="Arial" w:cs="Arial"/>
          <w:color w:val="000000" w:themeColor="text1"/>
        </w:rPr>
        <w:t>foraminoplastia</w:t>
      </w:r>
      <w:proofErr w:type="spellEnd"/>
      <w:r>
        <w:rPr>
          <w:rFonts w:ascii="Arial" w:hAnsi="Arial" w:cs="Arial"/>
          <w:color w:val="000000" w:themeColor="text1"/>
        </w:rPr>
        <w:t>, de acordo com suas particularidades. Após a instrumentação, realinhamento e descompressão nervosa foram acopladas duas hastes de titânio pré-moldadas, uma de cada lado, associadas a um dispositivo de tração transversal (</w:t>
      </w:r>
      <w:r w:rsidR="00E75BDB">
        <w:rPr>
          <w:rFonts w:ascii="Arial" w:hAnsi="Arial" w:cs="Arial"/>
          <w:color w:val="000000" w:themeColor="text1"/>
        </w:rPr>
        <w:t>DTT</w:t>
      </w:r>
      <w:r>
        <w:rPr>
          <w:rFonts w:ascii="Arial" w:hAnsi="Arial" w:cs="Arial"/>
          <w:color w:val="000000" w:themeColor="text1"/>
        </w:rPr>
        <w:t>).</w:t>
      </w:r>
    </w:p>
    <w:p w14:paraId="5EAE2D85" w14:textId="5B1533F6" w:rsidR="003C3AC1" w:rsidRDefault="003C3AC1" w:rsidP="002E05AE">
      <w:pPr>
        <w:pStyle w:val="NormalWeb"/>
        <w:spacing w:line="480" w:lineRule="auto"/>
        <w:jc w:val="both"/>
        <w:rPr>
          <w:rFonts w:ascii="Arial" w:hAnsi="Arial" w:cs="Arial"/>
          <w:sz w:val="15"/>
          <w:szCs w:val="15"/>
        </w:rPr>
      </w:pPr>
    </w:p>
    <w:p w14:paraId="16C7EFD7" w14:textId="7D660F3F" w:rsidR="003C3AC1" w:rsidRPr="00555A71" w:rsidRDefault="003C3AC1" w:rsidP="002E05AE">
      <w:pPr>
        <w:pStyle w:val="NormalWeb"/>
        <w:spacing w:line="48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555A71">
        <w:rPr>
          <w:rFonts w:ascii="Arial" w:hAnsi="Arial" w:cs="Arial"/>
          <w:b/>
          <w:bCs/>
          <w:color w:val="000000" w:themeColor="text1"/>
        </w:rPr>
        <w:t>Acompanhamento</w:t>
      </w:r>
      <w:r w:rsidR="00555A71">
        <w:rPr>
          <w:rFonts w:ascii="Arial" w:hAnsi="Arial" w:cs="Arial"/>
          <w:b/>
          <w:bCs/>
          <w:color w:val="000000" w:themeColor="text1"/>
        </w:rPr>
        <w:t xml:space="preserve"> dos pacientes</w:t>
      </w:r>
    </w:p>
    <w:p w14:paraId="0F48C447" w14:textId="3CE1E4F3" w:rsidR="003C3AC1" w:rsidRDefault="003C3AC1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Independente da técnica utilizada, todos os pacientes foram estimulados a mobilizar precocemente os membros inferiores e ao treino de marcha com andador respeitando as limitações álgicas e as particularidades das lesões associadas.</w:t>
      </w:r>
      <w:r w:rsidR="000C3E0F">
        <w:rPr>
          <w:rFonts w:ascii="Arial" w:hAnsi="Arial" w:cs="Arial"/>
          <w:bCs/>
        </w:rPr>
        <w:t xml:space="preserve"> </w:t>
      </w:r>
      <w:r w:rsidR="000C3E0F">
        <w:rPr>
          <w:rFonts w:ascii="Arial" w:hAnsi="Arial" w:cs="Arial"/>
        </w:rPr>
        <w:t>O acompanhamento ambulatorial foi realizado por um período mínimo de 12 meses.</w:t>
      </w:r>
    </w:p>
    <w:p w14:paraId="7841D2E6" w14:textId="30C3FD99" w:rsidR="000C3E0F" w:rsidRPr="00555A71" w:rsidRDefault="000C3E0F" w:rsidP="00555A71">
      <w:pPr>
        <w:pStyle w:val="NormalWeb"/>
        <w:spacing w:line="480" w:lineRule="auto"/>
        <w:jc w:val="both"/>
        <w:rPr>
          <w:rFonts w:ascii="Arial" w:hAnsi="Arial" w:cs="Arial"/>
          <w:b/>
          <w:bCs/>
        </w:rPr>
      </w:pPr>
      <w:r w:rsidRPr="00555A71">
        <w:rPr>
          <w:rFonts w:ascii="Arial" w:hAnsi="Arial" w:cs="Arial"/>
          <w:b/>
          <w:bCs/>
        </w:rPr>
        <w:lastRenderedPageBreak/>
        <w:t>Análise dos dados</w:t>
      </w:r>
    </w:p>
    <w:p w14:paraId="00A103B1" w14:textId="0D21E081" w:rsidR="000C3E0F" w:rsidRDefault="000C3E0F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a </w:t>
      </w:r>
      <w:r w:rsidRPr="00723B6A">
        <w:rPr>
          <w:rFonts w:ascii="Arial" w:hAnsi="Arial" w:cs="Arial"/>
        </w:rPr>
        <w:t>seleção</w:t>
      </w:r>
      <w:r>
        <w:rPr>
          <w:rFonts w:ascii="Arial" w:hAnsi="Arial" w:cs="Arial"/>
        </w:rPr>
        <w:t xml:space="preserve"> dos pacientes, foram analisados fatores como idade, sexo, mecanismo de trauma, lesões associadas, </w:t>
      </w:r>
      <w:r w:rsidRPr="00C55DE1">
        <w:rPr>
          <w:rFonts w:ascii="Arial" w:hAnsi="Arial" w:cs="Arial"/>
          <w:i/>
          <w:iCs/>
        </w:rPr>
        <w:t>status</w:t>
      </w:r>
      <w:r>
        <w:rPr>
          <w:rFonts w:ascii="Arial" w:hAnsi="Arial" w:cs="Arial"/>
        </w:rPr>
        <w:t xml:space="preserve"> neurológico, padrão da fratura utilizando classificações existentes na literatura, complicações clínicas relacionadas ao trauma, complicações clínicas relacionadas ao procedimento cirúrgico, técnica cirúrgica utilizada, intervalo de tempo entre o trauma e o tratamento cirúrgico e o intervalo de tempo entre o procedimento cirúrgico e a alta hospitalar.  Os resultados deste estudo foram comparados aos publicados por outros centros de diferentes partes do mundo. </w:t>
      </w:r>
    </w:p>
    <w:p w14:paraId="67AE6903" w14:textId="4237376F" w:rsidR="00BF3EF2" w:rsidRDefault="00BF3EF2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a estratificação do </w:t>
      </w:r>
      <w:r w:rsidRPr="00BF3EF2">
        <w:rPr>
          <w:rFonts w:ascii="Arial" w:hAnsi="Arial" w:cs="Arial"/>
          <w:i/>
          <w:iCs/>
        </w:rPr>
        <w:t>status</w:t>
      </w:r>
      <w:r>
        <w:rPr>
          <w:rFonts w:ascii="Arial" w:hAnsi="Arial" w:cs="Arial"/>
        </w:rPr>
        <w:t xml:space="preserve"> neurológico foi utilizada a classificação desenvolvida por </w:t>
      </w:r>
      <w:proofErr w:type="spellStart"/>
      <w:r>
        <w:rPr>
          <w:rFonts w:ascii="Arial" w:hAnsi="Arial" w:cs="Arial"/>
        </w:rPr>
        <w:t>Gibbons</w:t>
      </w:r>
      <w:proofErr w:type="spellEnd"/>
      <w:r>
        <w:rPr>
          <w:rFonts w:ascii="Arial" w:hAnsi="Arial" w:cs="Arial"/>
        </w:rPr>
        <w:t xml:space="preserve"> </w:t>
      </w:r>
      <w:r w:rsidRPr="0047697D">
        <w:rPr>
          <w:rFonts w:ascii="Arial" w:hAnsi="Arial" w:cs="Arial"/>
        </w:rPr>
        <w:t>e colaboradores</w:t>
      </w:r>
      <w:r>
        <w:rPr>
          <w:rFonts w:ascii="Arial" w:hAnsi="Arial" w:cs="Arial"/>
        </w:rPr>
        <w:t>. Assim, cada paciente foi classificado</w:t>
      </w:r>
      <w:r w:rsidR="00472CE5">
        <w:rPr>
          <w:rFonts w:ascii="Arial" w:hAnsi="Arial" w:cs="Arial"/>
        </w:rPr>
        <w:t xml:space="preserve"> em</w:t>
      </w:r>
      <w:r>
        <w:rPr>
          <w:rFonts w:ascii="Arial" w:hAnsi="Arial" w:cs="Arial"/>
        </w:rPr>
        <w:t xml:space="preserve"> um dos seguintes grupos</w:t>
      </w:r>
      <w:r w:rsidRPr="0047697D">
        <w:rPr>
          <w:rFonts w:ascii="Arial" w:hAnsi="Arial" w:cs="Arial"/>
        </w:rPr>
        <w:t xml:space="preserve">: </w:t>
      </w:r>
      <w:r w:rsidRPr="00BF3EF2">
        <w:rPr>
          <w:rFonts w:ascii="Arial" w:hAnsi="Arial" w:cs="Arial"/>
        </w:rPr>
        <w:t xml:space="preserve">1) sem alterações neurológicas; 2) </w:t>
      </w:r>
      <w:proofErr w:type="spellStart"/>
      <w:r w:rsidRPr="00BF3EF2">
        <w:rPr>
          <w:rFonts w:ascii="Arial" w:hAnsi="Arial" w:cs="Arial"/>
        </w:rPr>
        <w:t>parestesia</w:t>
      </w:r>
      <w:proofErr w:type="spellEnd"/>
      <w:r w:rsidRPr="00BF3EF2">
        <w:rPr>
          <w:rFonts w:ascii="Arial" w:hAnsi="Arial" w:cs="Arial"/>
        </w:rPr>
        <w:t xml:space="preserve"> nos membros inferiores; 3) déficit motor nos membros inferiores com função vesical e intestinal íntegras; 4) disfunção vesical e intestinal</w:t>
      </w:r>
      <w:r w:rsidRPr="00BF3EF2">
        <w:rPr>
          <w:rFonts w:ascii="Arial" w:hAnsi="Arial" w:cs="Arial"/>
          <w:vertAlign w:val="superscript"/>
        </w:rPr>
        <w:t>19</w:t>
      </w:r>
    </w:p>
    <w:p w14:paraId="69E49B70" w14:textId="77777777" w:rsidR="000C3E0F" w:rsidRDefault="000C3E0F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Os dados foram tabulados em planilha do Excel versão 14. As variáveis numéricas foram expressas na forma de média, mínimo e máximo. As variáveis categóricas foram expressas na forma de frequência.  </w:t>
      </w:r>
    </w:p>
    <w:p w14:paraId="38A1C309" w14:textId="77777777" w:rsidR="000C3E0F" w:rsidRDefault="000C3E0F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</w:rPr>
      </w:pPr>
    </w:p>
    <w:p w14:paraId="7F8CA7E9" w14:textId="6075769A" w:rsidR="00740F94" w:rsidRDefault="00740F94" w:rsidP="002E05AE">
      <w:pPr>
        <w:pStyle w:val="NormalWeb"/>
        <w:spacing w:line="480" w:lineRule="auto"/>
        <w:jc w:val="both"/>
        <w:rPr>
          <w:rFonts w:ascii="Arial" w:hAnsi="Arial" w:cs="Arial"/>
          <w:b/>
        </w:rPr>
      </w:pPr>
      <w:r w:rsidRPr="00CF782B">
        <w:rPr>
          <w:rFonts w:ascii="Arial" w:hAnsi="Arial" w:cs="Arial"/>
          <w:b/>
        </w:rPr>
        <w:t>RESULTADOS</w:t>
      </w:r>
      <w:r>
        <w:rPr>
          <w:rFonts w:ascii="Arial" w:hAnsi="Arial" w:cs="Arial"/>
          <w:b/>
        </w:rPr>
        <w:t>:</w:t>
      </w:r>
    </w:p>
    <w:p w14:paraId="47D14BA1" w14:textId="56BF79F0" w:rsidR="00C63F84" w:rsidRPr="00685B72" w:rsidRDefault="000C3E0F" w:rsidP="002E05AE">
      <w:pPr>
        <w:pStyle w:val="NormalWeb"/>
        <w:spacing w:line="480" w:lineRule="auto"/>
        <w:ind w:firstLine="708"/>
        <w:jc w:val="both"/>
        <w:rPr>
          <w:rFonts w:ascii="AdvTT31ea7dbe" w:hAnsi="AdvTT31ea7dbe"/>
          <w:color w:val="000000" w:themeColor="text1"/>
          <w:sz w:val="18"/>
          <w:szCs w:val="18"/>
        </w:rPr>
      </w:pPr>
      <w:r w:rsidRPr="00685B72">
        <w:rPr>
          <w:rFonts w:ascii="Arial" w:hAnsi="Arial" w:cs="Arial"/>
          <w:color w:val="000000" w:themeColor="text1"/>
          <w:lang w:val="pt-PT"/>
        </w:rPr>
        <w:t>Foram selecionados 1</w:t>
      </w:r>
      <w:r w:rsidR="00145444" w:rsidRPr="00685B72">
        <w:rPr>
          <w:rFonts w:ascii="Arial" w:hAnsi="Arial" w:cs="Arial"/>
          <w:color w:val="000000" w:themeColor="text1"/>
          <w:lang w:val="pt-PT"/>
        </w:rPr>
        <w:t>6</w:t>
      </w:r>
      <w:r w:rsidRPr="00685B72">
        <w:rPr>
          <w:rFonts w:ascii="Arial" w:hAnsi="Arial" w:cs="Arial"/>
          <w:color w:val="000000" w:themeColor="text1"/>
          <w:lang w:val="pt-PT"/>
        </w:rPr>
        <w:t xml:space="preserve"> casos de fraturas complexas envelhecidas do sacro tratados cirurgicamente com as técnicas de OT ou FEP. 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Entre </w:t>
      </w:r>
      <w:r w:rsidR="004B73E5" w:rsidRPr="00685B72">
        <w:rPr>
          <w:rFonts w:ascii="Arial" w:hAnsi="Arial" w:cs="Arial"/>
          <w:bCs/>
          <w:color w:val="000000" w:themeColor="text1"/>
        </w:rPr>
        <w:t xml:space="preserve">eles, </w:t>
      </w:r>
      <w:r w:rsidR="00C63F84" w:rsidRPr="00685B72">
        <w:rPr>
          <w:rFonts w:ascii="Arial" w:hAnsi="Arial" w:cs="Arial"/>
          <w:bCs/>
          <w:color w:val="000000" w:themeColor="text1"/>
        </w:rPr>
        <w:t>1</w:t>
      </w:r>
      <w:r w:rsidR="004403D1" w:rsidRPr="00685B72">
        <w:rPr>
          <w:rFonts w:ascii="Arial" w:hAnsi="Arial" w:cs="Arial"/>
          <w:bCs/>
          <w:color w:val="000000" w:themeColor="text1"/>
        </w:rPr>
        <w:t>0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 </w:t>
      </w:r>
      <w:r w:rsidR="00C63F84" w:rsidRPr="00685B72">
        <w:rPr>
          <w:rFonts w:ascii="Arial" w:hAnsi="Arial" w:cs="Arial"/>
          <w:bCs/>
          <w:color w:val="000000" w:themeColor="text1"/>
        </w:rPr>
        <w:lastRenderedPageBreak/>
        <w:t xml:space="preserve">(62,5%) tiveram como mecanismo de trauma queda de locais elevados, </w:t>
      </w:r>
      <w:r w:rsidR="004403D1" w:rsidRPr="00685B72">
        <w:rPr>
          <w:rFonts w:ascii="Arial" w:hAnsi="Arial" w:cs="Arial"/>
          <w:bCs/>
          <w:color w:val="000000" w:themeColor="text1"/>
        </w:rPr>
        <w:t>4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 (2</w:t>
      </w:r>
      <w:r w:rsidR="004403D1" w:rsidRPr="00685B72">
        <w:rPr>
          <w:rFonts w:ascii="Arial" w:hAnsi="Arial" w:cs="Arial"/>
          <w:bCs/>
          <w:color w:val="000000" w:themeColor="text1"/>
        </w:rPr>
        <w:t>5</w:t>
      </w:r>
      <w:r w:rsidR="00C63F84" w:rsidRPr="00685B72">
        <w:rPr>
          <w:rFonts w:ascii="Arial" w:hAnsi="Arial" w:cs="Arial"/>
          <w:bCs/>
          <w:color w:val="000000" w:themeColor="text1"/>
        </w:rPr>
        <w:t>%) foram vítimas acidentes automobilísticos</w:t>
      </w:r>
      <w:r w:rsidR="004403D1" w:rsidRPr="00685B72">
        <w:rPr>
          <w:rFonts w:ascii="Arial" w:hAnsi="Arial" w:cs="Arial"/>
          <w:bCs/>
          <w:color w:val="000000" w:themeColor="text1"/>
        </w:rPr>
        <w:t xml:space="preserve">, </w:t>
      </w:r>
      <w:r w:rsidR="00C63F84" w:rsidRPr="00685B72">
        <w:rPr>
          <w:rFonts w:ascii="Arial" w:hAnsi="Arial" w:cs="Arial"/>
          <w:bCs/>
          <w:color w:val="000000" w:themeColor="text1"/>
        </w:rPr>
        <w:t>1 (</w:t>
      </w:r>
      <w:r w:rsidR="004403D1" w:rsidRPr="00685B72">
        <w:rPr>
          <w:rFonts w:ascii="Arial" w:hAnsi="Arial" w:cs="Arial"/>
          <w:bCs/>
          <w:color w:val="000000" w:themeColor="text1"/>
        </w:rPr>
        <w:t>6,2</w:t>
      </w:r>
      <w:r w:rsidR="00C63F84" w:rsidRPr="00685B72">
        <w:rPr>
          <w:rFonts w:ascii="Arial" w:hAnsi="Arial" w:cs="Arial"/>
          <w:bCs/>
          <w:color w:val="000000" w:themeColor="text1"/>
        </w:rPr>
        <w:t>%) sofreu esmagamento e 1 (</w:t>
      </w:r>
      <w:r w:rsidR="004403D1" w:rsidRPr="00685B72">
        <w:rPr>
          <w:rFonts w:ascii="Arial" w:hAnsi="Arial" w:cs="Arial"/>
          <w:bCs/>
          <w:color w:val="000000" w:themeColor="text1"/>
        </w:rPr>
        <w:t>6</w:t>
      </w:r>
      <w:r w:rsidR="00C63F84" w:rsidRPr="00685B72">
        <w:rPr>
          <w:rFonts w:ascii="Arial" w:hAnsi="Arial" w:cs="Arial"/>
          <w:bCs/>
          <w:color w:val="000000" w:themeColor="text1"/>
        </w:rPr>
        <w:t>,2%) se atirou de um carro em movimento. A média de idade foi de 39,</w:t>
      </w:r>
      <w:r w:rsidR="004403D1" w:rsidRPr="00685B72">
        <w:rPr>
          <w:rFonts w:ascii="Arial" w:hAnsi="Arial" w:cs="Arial"/>
          <w:bCs/>
          <w:color w:val="000000" w:themeColor="text1"/>
        </w:rPr>
        <w:t>8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 anos (variação: 18 a 71 anos), </w:t>
      </w:r>
      <w:r w:rsidR="00685B72">
        <w:rPr>
          <w:rFonts w:ascii="Arial" w:hAnsi="Arial" w:cs="Arial"/>
          <w:bCs/>
          <w:color w:val="000000" w:themeColor="text1"/>
        </w:rPr>
        <w:t xml:space="preserve">sendo </w:t>
      </w:r>
      <w:r w:rsidR="00C63F84" w:rsidRPr="00685B72">
        <w:rPr>
          <w:rFonts w:ascii="Arial" w:hAnsi="Arial" w:cs="Arial"/>
          <w:bCs/>
          <w:color w:val="000000" w:themeColor="text1"/>
        </w:rPr>
        <w:t>1</w:t>
      </w:r>
      <w:r w:rsidR="004403D1" w:rsidRPr="00685B72">
        <w:rPr>
          <w:rFonts w:ascii="Arial" w:hAnsi="Arial" w:cs="Arial"/>
          <w:bCs/>
          <w:color w:val="000000" w:themeColor="text1"/>
        </w:rPr>
        <w:t>1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 (</w:t>
      </w:r>
      <w:r w:rsidR="004403D1" w:rsidRPr="00685B72">
        <w:rPr>
          <w:rFonts w:ascii="Arial" w:hAnsi="Arial" w:cs="Arial"/>
          <w:bCs/>
          <w:color w:val="000000" w:themeColor="text1"/>
        </w:rPr>
        <w:t>6</w:t>
      </w:r>
      <w:r w:rsidR="00C63F84" w:rsidRPr="00685B72">
        <w:rPr>
          <w:rFonts w:ascii="Arial" w:hAnsi="Arial" w:cs="Arial"/>
          <w:bCs/>
          <w:color w:val="000000" w:themeColor="text1"/>
        </w:rPr>
        <w:t>8,</w:t>
      </w:r>
      <w:r w:rsidR="004403D1" w:rsidRPr="00685B72">
        <w:rPr>
          <w:rFonts w:ascii="Arial" w:hAnsi="Arial" w:cs="Arial"/>
          <w:bCs/>
          <w:color w:val="000000" w:themeColor="text1"/>
        </w:rPr>
        <w:t>7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%) pacientes do sexo masculino e </w:t>
      </w:r>
      <w:r w:rsidR="004403D1" w:rsidRPr="00685B72">
        <w:rPr>
          <w:rFonts w:ascii="Arial" w:hAnsi="Arial" w:cs="Arial"/>
          <w:bCs/>
          <w:color w:val="000000" w:themeColor="text1"/>
        </w:rPr>
        <w:t>5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 (</w:t>
      </w:r>
      <w:r w:rsidR="004403D1" w:rsidRPr="00685B72">
        <w:rPr>
          <w:rFonts w:ascii="Arial" w:hAnsi="Arial" w:cs="Arial"/>
          <w:bCs/>
          <w:color w:val="000000" w:themeColor="text1"/>
        </w:rPr>
        <w:t>31,3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%) do sexo feminino </w:t>
      </w:r>
      <w:r w:rsidR="00C63F84" w:rsidRPr="00685B72">
        <w:rPr>
          <w:rFonts w:ascii="Arial" w:hAnsi="Arial" w:cs="Arial"/>
          <w:b/>
          <w:color w:val="000000" w:themeColor="text1"/>
        </w:rPr>
        <w:t>(Tabela 1)</w:t>
      </w:r>
      <w:r w:rsidR="00C63F84" w:rsidRPr="00685B72">
        <w:rPr>
          <w:rFonts w:ascii="Arial" w:hAnsi="Arial" w:cs="Arial"/>
          <w:bCs/>
          <w:color w:val="000000" w:themeColor="text1"/>
        </w:rPr>
        <w:t xml:space="preserve">. </w:t>
      </w:r>
    </w:p>
    <w:tbl>
      <w:tblPr>
        <w:tblW w:w="90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3"/>
        <w:gridCol w:w="3854"/>
      </w:tblGrid>
      <w:tr w:rsidR="004403D1" w:rsidRPr="006D664B" w14:paraId="37359BAD" w14:textId="77777777" w:rsidTr="00145444">
        <w:trPr>
          <w:trHeight w:val="325"/>
        </w:trPr>
        <w:tc>
          <w:tcPr>
            <w:tcW w:w="9027" w:type="dxa"/>
            <w:gridSpan w:val="2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6451F51F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6D664B">
              <w:rPr>
                <w:rFonts w:ascii="Calibri" w:hAnsi="Calibri" w:cs="Calibri"/>
                <w:b/>
                <w:bCs/>
              </w:rPr>
              <w:t>Caracterização da população de estudo</w:t>
            </w:r>
          </w:p>
        </w:tc>
      </w:tr>
      <w:tr w:rsidR="004403D1" w:rsidRPr="006D664B" w14:paraId="416E56BA" w14:textId="77777777" w:rsidTr="00145444">
        <w:trPr>
          <w:trHeight w:val="325"/>
        </w:trPr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EA20787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n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9078B0D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16</w:t>
            </w:r>
          </w:p>
        </w:tc>
      </w:tr>
      <w:tr w:rsidR="004403D1" w:rsidRPr="006D664B" w14:paraId="5553B89F" w14:textId="77777777" w:rsidTr="00145444">
        <w:trPr>
          <w:trHeight w:val="325"/>
        </w:trPr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F1B7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Sexo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n</w:t>
            </w:r>
          </w:p>
          <w:p w14:paraId="02A2D2A6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 xml:space="preserve">      Masculino</w:t>
            </w:r>
          </w:p>
          <w:p w14:paraId="3B77E3A0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 xml:space="preserve">      Feminino</w:t>
            </w:r>
          </w:p>
        </w:tc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493F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11</w:t>
            </w:r>
          </w:p>
          <w:p w14:paraId="7F5AB160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5</w:t>
            </w:r>
          </w:p>
        </w:tc>
      </w:tr>
      <w:tr w:rsidR="004403D1" w:rsidRPr="006D664B" w14:paraId="2F792029" w14:textId="77777777" w:rsidTr="00145444">
        <w:trPr>
          <w:trHeight w:val="325"/>
        </w:trPr>
        <w:tc>
          <w:tcPr>
            <w:tcW w:w="5173" w:type="dxa"/>
            <w:tcBorders>
              <w:top w:val="nil"/>
              <w:left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DE7DD0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Idade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anos</w:t>
            </w:r>
          </w:p>
        </w:tc>
        <w:tc>
          <w:tcPr>
            <w:tcW w:w="3854" w:type="dxa"/>
            <w:tcBorders>
              <w:top w:val="nil"/>
              <w:left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8D4410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39,8</w:t>
            </w:r>
          </w:p>
        </w:tc>
      </w:tr>
      <w:tr w:rsidR="004403D1" w:rsidRPr="006D664B" w14:paraId="1DF569B1" w14:textId="77777777" w:rsidTr="00145444">
        <w:trPr>
          <w:trHeight w:val="325"/>
        </w:trPr>
        <w:tc>
          <w:tcPr>
            <w:tcW w:w="5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39298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Mecanismo do trauma</w:t>
            </w:r>
            <w:r w:rsidRPr="00393251">
              <w:rPr>
                <w:rFonts w:ascii="Calibri" w:hAnsi="Calibri" w:cs="Calibri"/>
                <w:i/>
                <w:sz w:val="20"/>
              </w:rPr>
              <w:t>, n</w:t>
            </w:r>
          </w:p>
          <w:p w14:paraId="53ABB8EB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 xml:space="preserve">      Queda de altura</w:t>
            </w:r>
          </w:p>
          <w:p w14:paraId="7DE1F831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 xml:space="preserve">      Acidente automobilístico</w:t>
            </w:r>
          </w:p>
          <w:p w14:paraId="60FB746C" w14:textId="77777777" w:rsidR="004403D1" w:rsidRPr="006D664B" w:rsidRDefault="004403D1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 xml:space="preserve">      Outros</w:t>
            </w:r>
          </w:p>
        </w:tc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E408E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10</w:t>
            </w:r>
          </w:p>
          <w:p w14:paraId="1CEF61F4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4</w:t>
            </w:r>
          </w:p>
          <w:p w14:paraId="268D835E" w14:textId="77777777" w:rsidR="004403D1" w:rsidRPr="006D664B" w:rsidRDefault="004403D1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2</w:t>
            </w:r>
          </w:p>
        </w:tc>
      </w:tr>
    </w:tbl>
    <w:p w14:paraId="5B6A1C7D" w14:textId="63357D36" w:rsidR="00145444" w:rsidRPr="00685B72" w:rsidRDefault="0014544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B72">
        <w:rPr>
          <w:rFonts w:ascii="Arial" w:hAnsi="Arial" w:cs="Arial"/>
          <w:b/>
          <w:color w:val="000000" w:themeColor="text1"/>
          <w:sz w:val="20"/>
          <w:szCs w:val="20"/>
        </w:rPr>
        <w:t>Tabela 1</w:t>
      </w:r>
      <w:r w:rsidRPr="00685B72">
        <w:rPr>
          <w:rFonts w:ascii="Arial" w:hAnsi="Arial" w:cs="Arial"/>
          <w:bCs/>
          <w:color w:val="000000" w:themeColor="text1"/>
          <w:sz w:val="20"/>
          <w:szCs w:val="20"/>
        </w:rPr>
        <w:t xml:space="preserve">: Perfil epidemiológico dos pacientes com lesões complexas do sacro submetidos </w:t>
      </w:r>
      <w:r w:rsidR="00685B72">
        <w:rPr>
          <w:rFonts w:ascii="Arial" w:hAnsi="Arial" w:cs="Arial"/>
          <w:bCs/>
          <w:color w:val="000000" w:themeColor="text1"/>
          <w:sz w:val="20"/>
          <w:szCs w:val="20"/>
        </w:rPr>
        <w:t>ao tratamento cirúrgico tardio de lesões complexas do sacro.</w:t>
      </w:r>
    </w:p>
    <w:p w14:paraId="4B9586EB" w14:textId="77777777" w:rsidR="00C63F84" w:rsidRPr="00C63F84" w:rsidRDefault="00C63F8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FF0000"/>
          <w:sz w:val="20"/>
          <w:szCs w:val="20"/>
        </w:rPr>
      </w:pPr>
    </w:p>
    <w:p w14:paraId="4265BFE2" w14:textId="161177FB" w:rsidR="00C63F84" w:rsidRPr="00C63F84" w:rsidRDefault="00C63F8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FF0000"/>
        </w:rPr>
      </w:pPr>
      <w:r w:rsidRPr="00C63F84">
        <w:rPr>
          <w:rFonts w:ascii="Arial" w:hAnsi="Arial" w:cs="Arial"/>
          <w:bCs/>
          <w:color w:val="FF0000"/>
        </w:rPr>
        <w:tab/>
      </w:r>
      <w:r w:rsidRPr="00685B72">
        <w:rPr>
          <w:rFonts w:ascii="Arial" w:hAnsi="Arial" w:cs="Arial"/>
          <w:bCs/>
          <w:color w:val="000000" w:themeColor="text1"/>
        </w:rPr>
        <w:t xml:space="preserve">Do total amostral, </w:t>
      </w:r>
      <w:r w:rsidR="00145444" w:rsidRPr="00685B72">
        <w:rPr>
          <w:rFonts w:ascii="Arial" w:hAnsi="Arial" w:cs="Arial"/>
          <w:bCs/>
          <w:color w:val="000000" w:themeColor="text1"/>
        </w:rPr>
        <w:t>14</w:t>
      </w:r>
      <w:r w:rsidRPr="00685B72">
        <w:rPr>
          <w:rFonts w:ascii="Arial" w:hAnsi="Arial" w:cs="Arial"/>
          <w:bCs/>
          <w:color w:val="000000" w:themeColor="text1"/>
        </w:rPr>
        <w:t xml:space="preserve"> (</w:t>
      </w:r>
      <w:r w:rsidR="00145444" w:rsidRPr="00685B72">
        <w:rPr>
          <w:rFonts w:ascii="Arial" w:hAnsi="Arial" w:cs="Arial"/>
          <w:bCs/>
          <w:color w:val="000000" w:themeColor="text1"/>
        </w:rPr>
        <w:t>87,5</w:t>
      </w:r>
      <w:r w:rsidRPr="00685B72">
        <w:rPr>
          <w:rFonts w:ascii="Arial" w:hAnsi="Arial" w:cs="Arial"/>
          <w:bCs/>
          <w:color w:val="000000" w:themeColor="text1"/>
        </w:rPr>
        <w:t>%) pacientes apresentaram lesões associadas. As lesões do anel pélvico anterior representaram a associação mais comum, presente</w:t>
      </w:r>
      <w:r w:rsidR="00685B72" w:rsidRPr="00685B72">
        <w:rPr>
          <w:rFonts w:ascii="Arial" w:hAnsi="Arial" w:cs="Arial"/>
          <w:bCs/>
          <w:color w:val="000000" w:themeColor="text1"/>
        </w:rPr>
        <w:t>s</w:t>
      </w:r>
      <w:r w:rsidRPr="00685B72">
        <w:rPr>
          <w:rFonts w:ascii="Arial" w:hAnsi="Arial" w:cs="Arial"/>
          <w:bCs/>
          <w:color w:val="000000" w:themeColor="text1"/>
        </w:rPr>
        <w:t xml:space="preserve"> em </w:t>
      </w:r>
      <w:r w:rsidR="00145444" w:rsidRPr="00685B72">
        <w:rPr>
          <w:rFonts w:ascii="Arial" w:hAnsi="Arial" w:cs="Arial"/>
          <w:bCs/>
          <w:color w:val="000000" w:themeColor="text1"/>
        </w:rPr>
        <w:t>12</w:t>
      </w:r>
      <w:r w:rsidRPr="00685B72">
        <w:rPr>
          <w:rFonts w:ascii="Arial" w:hAnsi="Arial" w:cs="Arial"/>
          <w:bCs/>
          <w:color w:val="000000" w:themeColor="text1"/>
        </w:rPr>
        <w:t xml:space="preserve"> (7</w:t>
      </w:r>
      <w:r w:rsidR="00145444" w:rsidRPr="00685B72">
        <w:rPr>
          <w:rFonts w:ascii="Arial" w:hAnsi="Arial" w:cs="Arial"/>
          <w:bCs/>
          <w:color w:val="000000" w:themeColor="text1"/>
        </w:rPr>
        <w:t>5</w:t>
      </w:r>
      <w:r w:rsidRPr="00685B72">
        <w:rPr>
          <w:rFonts w:ascii="Arial" w:hAnsi="Arial" w:cs="Arial"/>
          <w:bCs/>
          <w:color w:val="000000" w:themeColor="text1"/>
        </w:rPr>
        <w:t xml:space="preserve">%) casos. As demais lesões ortopédicas diagnosticadas foram: fraturas do acetábulo, de vértebras lombares e torácicas, de arcos </w:t>
      </w:r>
      <w:r w:rsidRPr="00685B72">
        <w:rPr>
          <w:rFonts w:ascii="Arial" w:hAnsi="Arial" w:cs="Arial"/>
          <w:bCs/>
          <w:color w:val="000000" w:themeColor="text1"/>
        </w:rPr>
        <w:lastRenderedPageBreak/>
        <w:t>costais, de ossos da face e do esqueleto apendicular. Entre as lesões não ortopédicas associadas, 1 (</w:t>
      </w:r>
      <w:r w:rsidR="00145444" w:rsidRPr="00685B72">
        <w:rPr>
          <w:rFonts w:ascii="Arial" w:hAnsi="Arial" w:cs="Arial"/>
          <w:bCs/>
          <w:color w:val="000000" w:themeColor="text1"/>
        </w:rPr>
        <w:t>6</w:t>
      </w:r>
      <w:r w:rsidRPr="00685B72">
        <w:rPr>
          <w:rFonts w:ascii="Arial" w:hAnsi="Arial" w:cs="Arial"/>
          <w:bCs/>
          <w:color w:val="000000" w:themeColor="text1"/>
        </w:rPr>
        <w:t>,2%) paciente apresentou contusão pulmonar, 1 (</w:t>
      </w:r>
      <w:r w:rsidR="00145444" w:rsidRPr="00685B72">
        <w:rPr>
          <w:rFonts w:ascii="Arial" w:hAnsi="Arial" w:cs="Arial"/>
          <w:bCs/>
          <w:color w:val="000000" w:themeColor="text1"/>
        </w:rPr>
        <w:t>6</w:t>
      </w:r>
      <w:r w:rsidRPr="00685B72">
        <w:rPr>
          <w:rFonts w:ascii="Arial" w:hAnsi="Arial" w:cs="Arial"/>
          <w:bCs/>
          <w:color w:val="000000" w:themeColor="text1"/>
        </w:rPr>
        <w:t>,2%) lesão de bexiga e uretra, e 1 (</w:t>
      </w:r>
      <w:r w:rsidR="00145444" w:rsidRPr="00685B72">
        <w:rPr>
          <w:rFonts w:ascii="Arial" w:hAnsi="Arial" w:cs="Arial"/>
          <w:bCs/>
          <w:color w:val="000000" w:themeColor="text1"/>
        </w:rPr>
        <w:t>6</w:t>
      </w:r>
      <w:r w:rsidRPr="00685B72">
        <w:rPr>
          <w:rFonts w:ascii="Arial" w:hAnsi="Arial" w:cs="Arial"/>
          <w:bCs/>
          <w:color w:val="000000" w:themeColor="text1"/>
        </w:rPr>
        <w:t xml:space="preserve">,2%) evoluiu com rabdomiólise após o trauma, antes de ser submetido ao procedimento cirúrgico. Todos apresentaram boa evolução clínica durante o seguimento. </w:t>
      </w:r>
    </w:p>
    <w:p w14:paraId="547F2B20" w14:textId="044E4516" w:rsidR="00C63F84" w:rsidRDefault="00C63F8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FF0000"/>
        </w:rPr>
      </w:pPr>
      <w:r w:rsidRPr="00C63F84">
        <w:rPr>
          <w:rFonts w:ascii="Arial" w:hAnsi="Arial" w:cs="Arial"/>
          <w:bCs/>
          <w:color w:val="FF0000"/>
        </w:rPr>
        <w:t xml:space="preserve">         </w:t>
      </w:r>
      <w:r w:rsidRPr="00685B72">
        <w:rPr>
          <w:rFonts w:ascii="Arial" w:hAnsi="Arial" w:cs="Arial"/>
          <w:bCs/>
          <w:color w:val="000000" w:themeColor="text1"/>
        </w:rPr>
        <w:t xml:space="preserve">Foi utilizada a escala de </w:t>
      </w:r>
      <w:proofErr w:type="spellStart"/>
      <w:r w:rsidRPr="00685B72">
        <w:rPr>
          <w:rFonts w:ascii="Arial" w:hAnsi="Arial" w:cs="Arial"/>
          <w:bCs/>
          <w:color w:val="000000" w:themeColor="text1"/>
        </w:rPr>
        <w:t>Gibbons</w:t>
      </w:r>
      <w:proofErr w:type="spellEnd"/>
      <w:r w:rsidRPr="00685B72">
        <w:rPr>
          <w:rFonts w:ascii="Arial" w:hAnsi="Arial" w:cs="Arial"/>
          <w:bCs/>
          <w:color w:val="000000" w:themeColor="text1"/>
        </w:rPr>
        <w:t xml:space="preserve"> para avaliação do </w:t>
      </w:r>
      <w:r w:rsidRPr="00685B72">
        <w:rPr>
          <w:rFonts w:ascii="Arial" w:hAnsi="Arial" w:cs="Arial"/>
          <w:bCs/>
          <w:i/>
          <w:iCs/>
          <w:color w:val="000000" w:themeColor="text1"/>
        </w:rPr>
        <w:t>status</w:t>
      </w:r>
      <w:r w:rsidRPr="00685B72">
        <w:rPr>
          <w:rFonts w:ascii="Arial" w:hAnsi="Arial" w:cs="Arial"/>
          <w:bCs/>
          <w:color w:val="000000" w:themeColor="text1"/>
        </w:rPr>
        <w:t xml:space="preserve"> neurológico dos indivíduos estudados. A preservação da integridade neurológica</w:t>
      </w:r>
      <w:r w:rsidR="00145444" w:rsidRPr="00685B72">
        <w:rPr>
          <w:rFonts w:ascii="Arial" w:hAnsi="Arial" w:cs="Arial"/>
          <w:bCs/>
          <w:color w:val="000000" w:themeColor="text1"/>
        </w:rPr>
        <w:t>,</w:t>
      </w:r>
      <w:r w:rsidRPr="00685B72">
        <w:rPr>
          <w:rFonts w:ascii="Arial" w:hAnsi="Arial" w:cs="Arial"/>
          <w:bCs/>
          <w:color w:val="000000" w:themeColor="text1"/>
        </w:rPr>
        <w:t xml:space="preserve"> ocorreu em </w:t>
      </w:r>
      <w:r w:rsidR="004403D1" w:rsidRPr="00685B72">
        <w:rPr>
          <w:rFonts w:ascii="Arial" w:hAnsi="Arial" w:cs="Arial"/>
          <w:bCs/>
          <w:color w:val="000000" w:themeColor="text1"/>
        </w:rPr>
        <w:t>8</w:t>
      </w:r>
      <w:r w:rsidRPr="00685B72">
        <w:rPr>
          <w:rFonts w:ascii="Arial" w:hAnsi="Arial" w:cs="Arial"/>
          <w:bCs/>
          <w:color w:val="000000" w:themeColor="text1"/>
        </w:rPr>
        <w:t xml:space="preserve"> (5</w:t>
      </w:r>
      <w:r w:rsidR="004403D1" w:rsidRPr="00685B72">
        <w:rPr>
          <w:rFonts w:ascii="Arial" w:hAnsi="Arial" w:cs="Arial"/>
          <w:bCs/>
          <w:color w:val="000000" w:themeColor="text1"/>
        </w:rPr>
        <w:t>0</w:t>
      </w:r>
      <w:r w:rsidRPr="00685B72">
        <w:rPr>
          <w:rFonts w:ascii="Arial" w:hAnsi="Arial" w:cs="Arial"/>
          <w:bCs/>
          <w:color w:val="000000" w:themeColor="text1"/>
        </w:rPr>
        <w:t xml:space="preserve">%) casos, </w:t>
      </w:r>
      <w:r w:rsidR="004403D1" w:rsidRPr="00685B72">
        <w:rPr>
          <w:rFonts w:ascii="Arial" w:hAnsi="Arial" w:cs="Arial"/>
          <w:bCs/>
          <w:color w:val="000000" w:themeColor="text1"/>
        </w:rPr>
        <w:t>1</w:t>
      </w:r>
      <w:r w:rsidRPr="00685B72">
        <w:rPr>
          <w:rFonts w:ascii="Arial" w:hAnsi="Arial" w:cs="Arial"/>
          <w:bCs/>
          <w:color w:val="000000" w:themeColor="text1"/>
        </w:rPr>
        <w:t xml:space="preserve"> (</w:t>
      </w:r>
      <w:r w:rsidR="004403D1" w:rsidRPr="00685B72">
        <w:rPr>
          <w:rFonts w:ascii="Arial" w:hAnsi="Arial" w:cs="Arial"/>
          <w:bCs/>
          <w:color w:val="000000" w:themeColor="text1"/>
        </w:rPr>
        <w:t>6,2</w:t>
      </w:r>
      <w:r w:rsidRPr="00685B72">
        <w:rPr>
          <w:rFonts w:ascii="Arial" w:hAnsi="Arial" w:cs="Arial"/>
          <w:bCs/>
          <w:color w:val="000000" w:themeColor="text1"/>
        </w:rPr>
        <w:t>%) indivíduo</w:t>
      </w:r>
      <w:r w:rsidR="00685B72">
        <w:rPr>
          <w:rFonts w:ascii="Arial" w:hAnsi="Arial" w:cs="Arial"/>
          <w:bCs/>
          <w:color w:val="000000" w:themeColor="text1"/>
        </w:rPr>
        <w:t xml:space="preserve"> evoluiu com</w:t>
      </w:r>
      <w:r w:rsidRPr="00685B72">
        <w:rPr>
          <w:rFonts w:ascii="Arial" w:hAnsi="Arial" w:cs="Arial"/>
          <w:bCs/>
          <w:color w:val="000000" w:themeColor="text1"/>
        </w:rPr>
        <w:t xml:space="preserve"> parestesia </w:t>
      </w:r>
      <w:r w:rsidR="00685B72">
        <w:rPr>
          <w:rFonts w:ascii="Arial" w:hAnsi="Arial" w:cs="Arial"/>
          <w:bCs/>
          <w:color w:val="000000" w:themeColor="text1"/>
        </w:rPr>
        <w:t>n</w:t>
      </w:r>
      <w:r w:rsidRPr="00685B72">
        <w:rPr>
          <w:rFonts w:ascii="Arial" w:hAnsi="Arial" w:cs="Arial"/>
          <w:bCs/>
          <w:color w:val="000000" w:themeColor="text1"/>
        </w:rPr>
        <w:t>os membros inferiores, 2 (</w:t>
      </w:r>
      <w:r w:rsidR="004403D1" w:rsidRPr="00685B72">
        <w:rPr>
          <w:rFonts w:ascii="Arial" w:hAnsi="Arial" w:cs="Arial"/>
          <w:bCs/>
          <w:color w:val="000000" w:themeColor="text1"/>
        </w:rPr>
        <w:t>12,5</w:t>
      </w:r>
      <w:r w:rsidRPr="00685B72">
        <w:rPr>
          <w:rFonts w:ascii="Arial" w:hAnsi="Arial" w:cs="Arial"/>
          <w:bCs/>
          <w:color w:val="000000" w:themeColor="text1"/>
        </w:rPr>
        <w:t xml:space="preserve">%) </w:t>
      </w:r>
      <w:r w:rsidR="00685B72">
        <w:rPr>
          <w:rFonts w:ascii="Arial" w:hAnsi="Arial" w:cs="Arial"/>
          <w:bCs/>
          <w:color w:val="000000" w:themeColor="text1"/>
        </w:rPr>
        <w:t xml:space="preserve">com </w:t>
      </w:r>
      <w:r w:rsidRPr="00685B72">
        <w:rPr>
          <w:rFonts w:ascii="Arial" w:hAnsi="Arial" w:cs="Arial"/>
          <w:bCs/>
          <w:color w:val="000000" w:themeColor="text1"/>
        </w:rPr>
        <w:t xml:space="preserve">déficit motor em membros inferiores e </w:t>
      </w:r>
      <w:r w:rsidR="004403D1" w:rsidRPr="00685B72">
        <w:rPr>
          <w:rFonts w:ascii="Arial" w:hAnsi="Arial" w:cs="Arial"/>
          <w:bCs/>
          <w:color w:val="000000" w:themeColor="text1"/>
        </w:rPr>
        <w:t>5</w:t>
      </w:r>
      <w:r w:rsidRPr="00685B72">
        <w:rPr>
          <w:rFonts w:ascii="Arial" w:hAnsi="Arial" w:cs="Arial"/>
          <w:bCs/>
          <w:color w:val="000000" w:themeColor="text1"/>
        </w:rPr>
        <w:t xml:space="preserve"> (</w:t>
      </w:r>
      <w:r w:rsidR="004403D1" w:rsidRPr="00685B72">
        <w:rPr>
          <w:rFonts w:ascii="Arial" w:hAnsi="Arial" w:cs="Arial"/>
          <w:bCs/>
          <w:color w:val="000000" w:themeColor="text1"/>
        </w:rPr>
        <w:t>31,3</w:t>
      </w:r>
      <w:r w:rsidRPr="00685B72">
        <w:rPr>
          <w:rFonts w:ascii="Arial" w:hAnsi="Arial" w:cs="Arial"/>
          <w:bCs/>
          <w:color w:val="000000" w:themeColor="text1"/>
        </w:rPr>
        <w:t xml:space="preserve">%) com disfunções esfincterianas. </w:t>
      </w:r>
      <w:r w:rsidR="00145444" w:rsidRPr="00685B72">
        <w:rPr>
          <w:rFonts w:ascii="Arial" w:hAnsi="Arial" w:cs="Arial"/>
          <w:bCs/>
          <w:color w:val="000000" w:themeColor="text1"/>
        </w:rPr>
        <w:t xml:space="preserve">Entre os pacientes com comprometimento neurológico, 4 (50%) </w:t>
      </w:r>
      <w:r w:rsidR="00CD1A21">
        <w:rPr>
          <w:rFonts w:ascii="Arial" w:hAnsi="Arial" w:cs="Arial"/>
          <w:bCs/>
          <w:color w:val="000000" w:themeColor="text1"/>
        </w:rPr>
        <w:t>evoluíram</w:t>
      </w:r>
      <w:r w:rsidRPr="00685B72">
        <w:rPr>
          <w:rFonts w:ascii="Arial" w:hAnsi="Arial" w:cs="Arial"/>
          <w:bCs/>
          <w:color w:val="000000" w:themeColor="text1"/>
        </w:rPr>
        <w:t xml:space="preserve"> com melhora completa do déficit, </w:t>
      </w:r>
      <w:r w:rsidR="004403D1" w:rsidRPr="00685B72">
        <w:rPr>
          <w:rFonts w:ascii="Arial" w:hAnsi="Arial" w:cs="Arial"/>
          <w:bCs/>
          <w:color w:val="000000" w:themeColor="text1"/>
        </w:rPr>
        <w:t>2</w:t>
      </w:r>
      <w:r w:rsidRPr="00685B72">
        <w:rPr>
          <w:rFonts w:ascii="Arial" w:hAnsi="Arial" w:cs="Arial"/>
          <w:bCs/>
          <w:color w:val="000000" w:themeColor="text1"/>
        </w:rPr>
        <w:t xml:space="preserve"> (</w:t>
      </w:r>
      <w:r w:rsidR="00145444" w:rsidRPr="00685B72">
        <w:rPr>
          <w:rFonts w:ascii="Arial" w:hAnsi="Arial" w:cs="Arial"/>
          <w:bCs/>
          <w:color w:val="000000" w:themeColor="text1"/>
        </w:rPr>
        <w:t>25</w:t>
      </w:r>
      <w:r w:rsidRPr="00685B72">
        <w:rPr>
          <w:rFonts w:ascii="Arial" w:hAnsi="Arial" w:cs="Arial"/>
          <w:bCs/>
          <w:color w:val="000000" w:themeColor="text1"/>
        </w:rPr>
        <w:t xml:space="preserve">%) apresentaram melhora parcial e em </w:t>
      </w:r>
      <w:r w:rsidR="004403D1" w:rsidRPr="00685B72">
        <w:rPr>
          <w:rFonts w:ascii="Arial" w:hAnsi="Arial" w:cs="Arial"/>
          <w:bCs/>
          <w:color w:val="000000" w:themeColor="text1"/>
        </w:rPr>
        <w:t>2</w:t>
      </w:r>
      <w:r w:rsidRPr="00685B72">
        <w:rPr>
          <w:rFonts w:ascii="Arial" w:hAnsi="Arial" w:cs="Arial"/>
          <w:bCs/>
          <w:color w:val="000000" w:themeColor="text1"/>
        </w:rPr>
        <w:t xml:space="preserve"> (</w:t>
      </w:r>
      <w:r w:rsidR="00145444" w:rsidRPr="00685B72">
        <w:rPr>
          <w:rFonts w:ascii="Arial" w:hAnsi="Arial" w:cs="Arial"/>
          <w:bCs/>
          <w:color w:val="000000" w:themeColor="text1"/>
        </w:rPr>
        <w:t>25</w:t>
      </w:r>
      <w:r w:rsidRPr="00685B72">
        <w:rPr>
          <w:rFonts w:ascii="Arial" w:hAnsi="Arial" w:cs="Arial"/>
          <w:bCs/>
          <w:color w:val="000000" w:themeColor="text1"/>
        </w:rPr>
        <w:t xml:space="preserve">%) casos não houve </w:t>
      </w:r>
      <w:r w:rsidR="00145444" w:rsidRPr="00685B72">
        <w:rPr>
          <w:rFonts w:ascii="Arial" w:hAnsi="Arial" w:cs="Arial"/>
          <w:bCs/>
          <w:color w:val="000000" w:themeColor="text1"/>
        </w:rPr>
        <w:t>alteração do quadro</w:t>
      </w:r>
      <w:r w:rsidR="00E5526E" w:rsidRPr="00685B72">
        <w:rPr>
          <w:rFonts w:ascii="Arial" w:hAnsi="Arial" w:cs="Arial"/>
          <w:bCs/>
          <w:color w:val="000000" w:themeColor="text1"/>
        </w:rPr>
        <w:t xml:space="preserve"> (Tabela 2)</w:t>
      </w:r>
      <w:r w:rsidRPr="00685B72">
        <w:rPr>
          <w:rFonts w:ascii="Arial" w:hAnsi="Arial" w:cs="Arial"/>
          <w:bCs/>
          <w:color w:val="000000" w:themeColor="text1"/>
        </w:rPr>
        <w:t xml:space="preserve">. </w:t>
      </w:r>
    </w:p>
    <w:p w14:paraId="0BB92979" w14:textId="77777777" w:rsidR="0012362D" w:rsidRPr="00C63F84" w:rsidRDefault="0012362D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FF0000"/>
        </w:rPr>
      </w:pPr>
    </w:p>
    <w:tbl>
      <w:tblPr>
        <w:tblW w:w="52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91"/>
        <w:gridCol w:w="1291"/>
        <w:gridCol w:w="1411"/>
      </w:tblGrid>
      <w:tr w:rsidR="0012362D" w:rsidRPr="006A2BD1" w14:paraId="2463D48F" w14:textId="77777777" w:rsidTr="00091964">
        <w:trPr>
          <w:trHeight w:val="320"/>
        </w:trPr>
        <w:tc>
          <w:tcPr>
            <w:tcW w:w="1291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540DB929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6A2BD1">
              <w:rPr>
                <w:rFonts w:ascii="Calibri" w:hAnsi="Calibri" w:cs="Calibri"/>
                <w:b/>
                <w:bCs/>
              </w:rPr>
              <w:t>Id</w:t>
            </w:r>
          </w:p>
        </w:tc>
        <w:tc>
          <w:tcPr>
            <w:tcW w:w="1291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2D85360F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6A2BD1">
              <w:rPr>
                <w:rFonts w:ascii="Calibri" w:hAnsi="Calibri" w:cs="Calibri"/>
                <w:b/>
                <w:bCs/>
              </w:rPr>
              <w:t>Pré</w:t>
            </w:r>
            <w:proofErr w:type="spellEnd"/>
          </w:p>
        </w:tc>
        <w:tc>
          <w:tcPr>
            <w:tcW w:w="1291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6A77A0F5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6A2BD1">
              <w:rPr>
                <w:rFonts w:ascii="Calibri" w:hAnsi="Calibri" w:cs="Calibri"/>
                <w:b/>
                <w:bCs/>
              </w:rPr>
              <w:t>Pós</w:t>
            </w:r>
          </w:p>
        </w:tc>
        <w:tc>
          <w:tcPr>
            <w:tcW w:w="1411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0A66CA19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6A2BD1">
              <w:rPr>
                <w:rFonts w:ascii="Calibri" w:hAnsi="Calibri" w:cs="Calibri"/>
                <w:b/>
                <w:bCs/>
              </w:rPr>
              <w:t>Variação</w:t>
            </w:r>
          </w:p>
        </w:tc>
      </w:tr>
      <w:tr w:rsidR="0012362D" w:rsidRPr="006A2BD1" w14:paraId="2612C178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DE439F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D50426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0D1A64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1BA6072" w14:textId="77777777" w:rsidR="0012362D" w:rsidRPr="006A2BD1" w:rsidRDefault="0012362D" w:rsidP="002E05AE">
            <w:pPr>
              <w:spacing w:line="480" w:lineRule="auto"/>
              <w:jc w:val="center"/>
            </w:pPr>
            <w:r w:rsidRPr="006A2BD1">
              <w:t>↓</w:t>
            </w:r>
          </w:p>
        </w:tc>
      </w:tr>
      <w:tr w:rsidR="0012362D" w:rsidRPr="006A2BD1" w14:paraId="42A77965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DA15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2807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6A90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DDDF" w14:textId="77777777" w:rsidR="0012362D" w:rsidRPr="006A2BD1" w:rsidRDefault="0012362D" w:rsidP="002E05AE">
            <w:pPr>
              <w:spacing w:line="480" w:lineRule="auto"/>
              <w:jc w:val="center"/>
            </w:pPr>
            <w:r w:rsidRPr="006A2BD1">
              <w:t>↓</w:t>
            </w:r>
          </w:p>
        </w:tc>
      </w:tr>
      <w:tr w:rsidR="0012362D" w:rsidRPr="006A2BD1" w14:paraId="2DC5065E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E8F92D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ABF2E3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891C981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BEC27EF" w14:textId="77777777" w:rsidR="0012362D" w:rsidRPr="006A2BD1" w:rsidRDefault="0012362D" w:rsidP="002E05AE">
            <w:pPr>
              <w:spacing w:line="480" w:lineRule="auto"/>
              <w:jc w:val="center"/>
            </w:pPr>
            <w:r w:rsidRPr="006A2BD1">
              <w:t>↓</w:t>
            </w:r>
          </w:p>
        </w:tc>
      </w:tr>
      <w:tr w:rsidR="0012362D" w:rsidRPr="006A2BD1" w14:paraId="075153F2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1871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8E27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459C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4A8A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 xml:space="preserve">= </w:t>
            </w:r>
          </w:p>
        </w:tc>
      </w:tr>
      <w:tr w:rsidR="0012362D" w:rsidRPr="006A2BD1" w14:paraId="031E326C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0E2D27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E71183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397D622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1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FEC6D3" w14:textId="77777777" w:rsidR="0012362D" w:rsidRPr="006A2BD1" w:rsidRDefault="0012362D" w:rsidP="002E05AE">
            <w:pPr>
              <w:spacing w:line="480" w:lineRule="auto"/>
              <w:jc w:val="center"/>
            </w:pPr>
            <w:r w:rsidRPr="006A2BD1">
              <w:t>↓</w:t>
            </w:r>
          </w:p>
        </w:tc>
      </w:tr>
      <w:tr w:rsidR="0012362D" w:rsidRPr="006A2BD1" w14:paraId="256BF110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FB54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A8CA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396F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07F3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 xml:space="preserve">= </w:t>
            </w:r>
          </w:p>
        </w:tc>
      </w:tr>
      <w:tr w:rsidR="0012362D" w:rsidRPr="006A2BD1" w14:paraId="2F9D2066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90BA8FD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F5EB1E7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DBA30A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2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0A9259" w14:textId="77777777" w:rsidR="0012362D" w:rsidRPr="006A2BD1" w:rsidRDefault="0012362D" w:rsidP="002E05AE">
            <w:pPr>
              <w:spacing w:line="480" w:lineRule="auto"/>
              <w:jc w:val="center"/>
            </w:pPr>
            <w:r w:rsidRPr="006A2BD1">
              <w:t>↓</w:t>
            </w:r>
          </w:p>
        </w:tc>
      </w:tr>
      <w:tr w:rsidR="0012362D" w:rsidRPr="006A2BD1" w14:paraId="552137EC" w14:textId="77777777" w:rsidTr="00091964">
        <w:trPr>
          <w:trHeight w:val="320"/>
        </w:trPr>
        <w:tc>
          <w:tcPr>
            <w:tcW w:w="129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39F0A825" w14:textId="77777777" w:rsidR="0012362D" w:rsidRPr="006A2BD1" w:rsidRDefault="0012362D" w:rsidP="002E05AE">
            <w:pPr>
              <w:spacing w:line="480" w:lineRule="auto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Paciente 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606F6B08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2D69F8B6" w14:textId="77777777" w:rsidR="0012362D" w:rsidRPr="006A2BD1" w:rsidRDefault="0012362D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A2BD1">
              <w:rPr>
                <w:rFonts w:ascii="Calibri" w:hAnsi="Calibri" w:cs="Calibri"/>
              </w:rPr>
              <w:t>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auto"/>
            <w:noWrap/>
            <w:vAlign w:val="bottom"/>
            <w:hideMark/>
          </w:tcPr>
          <w:p w14:paraId="557719AF" w14:textId="77777777" w:rsidR="0012362D" w:rsidRPr="006A2BD1" w:rsidRDefault="0012362D" w:rsidP="002E05AE">
            <w:pPr>
              <w:spacing w:line="480" w:lineRule="auto"/>
              <w:jc w:val="center"/>
            </w:pPr>
            <w:r w:rsidRPr="006A2BD1">
              <w:t>↓</w:t>
            </w:r>
          </w:p>
        </w:tc>
      </w:tr>
    </w:tbl>
    <w:p w14:paraId="2DA6454A" w14:textId="567E2D76" w:rsidR="00C63F84" w:rsidRPr="00C63F84" w:rsidRDefault="00C63F8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FF0000"/>
        </w:rPr>
      </w:pPr>
    </w:p>
    <w:p w14:paraId="12BBB61C" w14:textId="6083AA24" w:rsidR="00C63F84" w:rsidRDefault="0012362D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  <w:sz w:val="15"/>
          <w:szCs w:val="15"/>
        </w:rPr>
      </w:pPr>
      <w:r w:rsidRPr="00685B72">
        <w:rPr>
          <w:rFonts w:ascii="Arial" w:hAnsi="Arial" w:cs="Arial"/>
          <w:b/>
          <w:color w:val="000000" w:themeColor="text1"/>
          <w:sz w:val="15"/>
          <w:szCs w:val="15"/>
        </w:rPr>
        <w:t>Tabela</w:t>
      </w:r>
      <w:r w:rsidR="00C63F84" w:rsidRPr="00685B72">
        <w:rPr>
          <w:rFonts w:ascii="Arial" w:hAnsi="Arial" w:cs="Arial"/>
          <w:b/>
          <w:color w:val="000000" w:themeColor="text1"/>
          <w:sz w:val="15"/>
          <w:szCs w:val="15"/>
        </w:rPr>
        <w:t xml:space="preserve"> </w:t>
      </w:r>
      <w:r w:rsidRPr="00685B72">
        <w:rPr>
          <w:rFonts w:ascii="Arial" w:hAnsi="Arial" w:cs="Arial"/>
          <w:b/>
          <w:color w:val="000000" w:themeColor="text1"/>
          <w:sz w:val="15"/>
          <w:szCs w:val="15"/>
        </w:rPr>
        <w:t>2</w:t>
      </w:r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: Distribuição </w:t>
      </w:r>
      <w:proofErr w:type="spellStart"/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>pré</w:t>
      </w:r>
      <w:proofErr w:type="spellEnd"/>
      <w:r w:rsidR="004403D1"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 e pós</w:t>
      </w:r>
      <w:r w:rsidR="00CD1A21">
        <w:rPr>
          <w:rFonts w:ascii="Arial" w:hAnsi="Arial" w:cs="Arial"/>
          <w:bCs/>
          <w:color w:val="000000" w:themeColor="text1"/>
          <w:sz w:val="15"/>
          <w:szCs w:val="15"/>
        </w:rPr>
        <w:t>-</w:t>
      </w:r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operatória dos pacientes com lesões complexas </w:t>
      </w:r>
      <w:r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envelhecidas </w:t>
      </w:r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>do sacro</w:t>
      </w:r>
      <w:r w:rsidR="009D486E">
        <w:rPr>
          <w:rFonts w:ascii="Arial" w:hAnsi="Arial" w:cs="Arial"/>
          <w:bCs/>
          <w:color w:val="000000" w:themeColor="text1"/>
          <w:sz w:val="15"/>
          <w:szCs w:val="15"/>
        </w:rPr>
        <w:t xml:space="preserve"> submeti</w:t>
      </w:r>
      <w:r w:rsidR="00C450D2">
        <w:rPr>
          <w:rFonts w:ascii="Arial" w:hAnsi="Arial" w:cs="Arial"/>
          <w:bCs/>
          <w:color w:val="000000" w:themeColor="text1"/>
          <w:sz w:val="15"/>
          <w:szCs w:val="15"/>
        </w:rPr>
        <w:t>d</w:t>
      </w:r>
      <w:r w:rsidR="009D486E">
        <w:rPr>
          <w:rFonts w:ascii="Arial" w:hAnsi="Arial" w:cs="Arial"/>
          <w:bCs/>
          <w:color w:val="000000" w:themeColor="text1"/>
          <w:sz w:val="15"/>
          <w:szCs w:val="15"/>
        </w:rPr>
        <w:t>os ao tratamento cirúrgico</w:t>
      </w:r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 </w:t>
      </w:r>
      <w:r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e alteração do </w:t>
      </w:r>
      <w:r w:rsidRPr="00685B72">
        <w:rPr>
          <w:rFonts w:ascii="Arial" w:hAnsi="Arial" w:cs="Arial"/>
          <w:bCs/>
          <w:i/>
          <w:iCs/>
          <w:color w:val="000000" w:themeColor="text1"/>
          <w:sz w:val="15"/>
          <w:szCs w:val="15"/>
        </w:rPr>
        <w:t>status</w:t>
      </w:r>
      <w:r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 neurológico</w:t>
      </w:r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, segundo a classificação de </w:t>
      </w:r>
      <w:proofErr w:type="spellStart"/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>Gibbons</w:t>
      </w:r>
      <w:proofErr w:type="spellEnd"/>
      <w:r w:rsidR="00C63F84" w:rsidRPr="00685B72">
        <w:rPr>
          <w:rFonts w:ascii="Arial" w:hAnsi="Arial" w:cs="Arial"/>
          <w:bCs/>
          <w:color w:val="000000" w:themeColor="text1"/>
          <w:sz w:val="15"/>
          <w:szCs w:val="15"/>
        </w:rPr>
        <w:t>.</w:t>
      </w:r>
      <w:r w:rsidR="009D486E">
        <w:rPr>
          <w:rFonts w:ascii="Arial" w:hAnsi="Arial" w:cs="Arial"/>
          <w:bCs/>
          <w:color w:val="000000" w:themeColor="text1"/>
          <w:sz w:val="15"/>
          <w:szCs w:val="15"/>
        </w:rPr>
        <w:t xml:space="preserve"> A seta apontando para baixo indica que houve mudança na estratificação do paciente, representando uma melhora do quadro neurológico. </w:t>
      </w:r>
    </w:p>
    <w:p w14:paraId="0CF35613" w14:textId="77777777" w:rsidR="009D486E" w:rsidRPr="009D486E" w:rsidRDefault="009D486E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  <w:sz w:val="15"/>
          <w:szCs w:val="15"/>
        </w:rPr>
      </w:pPr>
    </w:p>
    <w:p w14:paraId="4645FC28" w14:textId="183026C6" w:rsidR="00C63F84" w:rsidRPr="009D486E" w:rsidRDefault="00C63F8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</w:rPr>
      </w:pPr>
      <w:r w:rsidRPr="00C63F84">
        <w:rPr>
          <w:rFonts w:ascii="Arial" w:hAnsi="Arial" w:cs="Arial"/>
          <w:bCs/>
          <w:color w:val="FF0000"/>
        </w:rPr>
        <w:tab/>
      </w:r>
      <w:r w:rsidRPr="009D486E">
        <w:rPr>
          <w:rFonts w:ascii="Arial" w:hAnsi="Arial" w:cs="Arial"/>
          <w:bCs/>
          <w:color w:val="000000" w:themeColor="text1"/>
        </w:rPr>
        <w:t xml:space="preserve">Ao avaliar os padrões de fraturas, </w:t>
      </w:r>
      <w:r w:rsidR="00145444" w:rsidRPr="009D486E">
        <w:rPr>
          <w:rFonts w:ascii="Arial" w:hAnsi="Arial" w:cs="Arial"/>
          <w:bCs/>
          <w:color w:val="000000" w:themeColor="text1"/>
        </w:rPr>
        <w:t>9</w:t>
      </w:r>
      <w:r w:rsidRPr="009D486E">
        <w:rPr>
          <w:rFonts w:ascii="Arial" w:hAnsi="Arial" w:cs="Arial"/>
          <w:bCs/>
          <w:color w:val="000000" w:themeColor="text1"/>
        </w:rPr>
        <w:t xml:space="preserve"> (</w:t>
      </w:r>
      <w:r w:rsidR="0012362D" w:rsidRPr="009D486E">
        <w:rPr>
          <w:rFonts w:ascii="Arial" w:hAnsi="Arial" w:cs="Arial"/>
          <w:bCs/>
          <w:color w:val="000000" w:themeColor="text1"/>
        </w:rPr>
        <w:t>5</w:t>
      </w:r>
      <w:r w:rsidR="00145444" w:rsidRPr="009D486E">
        <w:rPr>
          <w:rFonts w:ascii="Arial" w:hAnsi="Arial" w:cs="Arial"/>
          <w:bCs/>
          <w:color w:val="000000" w:themeColor="text1"/>
        </w:rPr>
        <w:t>6,2</w:t>
      </w:r>
      <w:r w:rsidRPr="009D486E">
        <w:rPr>
          <w:rFonts w:ascii="Arial" w:hAnsi="Arial" w:cs="Arial"/>
          <w:bCs/>
          <w:color w:val="000000" w:themeColor="text1"/>
        </w:rPr>
        <w:t xml:space="preserve">%) foram classificados de acordo com a classificação de Denis como localizadas na zona II e </w:t>
      </w:r>
      <w:r w:rsidR="00145444" w:rsidRPr="009D486E">
        <w:rPr>
          <w:rFonts w:ascii="Arial" w:hAnsi="Arial" w:cs="Arial"/>
          <w:bCs/>
          <w:color w:val="000000" w:themeColor="text1"/>
        </w:rPr>
        <w:t>5</w:t>
      </w:r>
      <w:r w:rsidRPr="009D486E">
        <w:rPr>
          <w:rFonts w:ascii="Arial" w:hAnsi="Arial" w:cs="Arial"/>
          <w:bCs/>
          <w:color w:val="000000" w:themeColor="text1"/>
        </w:rPr>
        <w:t xml:space="preserve"> (</w:t>
      </w:r>
      <w:r w:rsidR="00145444" w:rsidRPr="009D486E">
        <w:rPr>
          <w:rFonts w:ascii="Arial" w:hAnsi="Arial" w:cs="Arial"/>
          <w:bCs/>
          <w:color w:val="000000" w:themeColor="text1"/>
        </w:rPr>
        <w:t>31,3</w:t>
      </w:r>
      <w:r w:rsidRPr="009D486E">
        <w:rPr>
          <w:rFonts w:ascii="Arial" w:hAnsi="Arial" w:cs="Arial"/>
          <w:bCs/>
          <w:color w:val="000000" w:themeColor="text1"/>
        </w:rPr>
        <w:t>%) na zona III. Em 2 (</w:t>
      </w:r>
      <w:r w:rsidR="0012362D" w:rsidRPr="009D486E">
        <w:rPr>
          <w:rFonts w:ascii="Arial" w:hAnsi="Arial" w:cs="Arial"/>
          <w:bCs/>
          <w:color w:val="000000" w:themeColor="text1"/>
        </w:rPr>
        <w:t>12,5</w:t>
      </w:r>
      <w:r w:rsidRPr="009D486E">
        <w:rPr>
          <w:rFonts w:ascii="Arial" w:hAnsi="Arial" w:cs="Arial"/>
          <w:bCs/>
          <w:color w:val="000000" w:themeColor="text1"/>
        </w:rPr>
        <w:t>%)</w:t>
      </w:r>
      <w:r w:rsidR="009D486E" w:rsidRPr="009D486E">
        <w:rPr>
          <w:rFonts w:ascii="Arial" w:hAnsi="Arial" w:cs="Arial"/>
          <w:bCs/>
          <w:color w:val="000000" w:themeColor="text1"/>
        </w:rPr>
        <w:t xml:space="preserve"> casos</w:t>
      </w:r>
      <w:r w:rsidRPr="009D486E">
        <w:rPr>
          <w:rFonts w:ascii="Arial" w:hAnsi="Arial" w:cs="Arial"/>
          <w:bCs/>
          <w:color w:val="000000" w:themeColor="text1"/>
        </w:rPr>
        <w:t xml:space="preserve"> ocorreram </w:t>
      </w:r>
      <w:r w:rsidR="00145444" w:rsidRPr="009D486E">
        <w:rPr>
          <w:rFonts w:ascii="Arial" w:hAnsi="Arial" w:cs="Arial"/>
          <w:bCs/>
          <w:color w:val="000000" w:themeColor="text1"/>
        </w:rPr>
        <w:t>luxações</w:t>
      </w:r>
      <w:r w:rsidRPr="009D486E">
        <w:rPr>
          <w:rFonts w:ascii="Arial" w:hAnsi="Arial" w:cs="Arial"/>
          <w:bCs/>
          <w:color w:val="000000" w:themeColor="text1"/>
        </w:rPr>
        <w:t xml:space="preserve"> sacro-ilíaca</w:t>
      </w:r>
      <w:r w:rsidR="00145444" w:rsidRPr="009D486E">
        <w:rPr>
          <w:rFonts w:ascii="Arial" w:hAnsi="Arial" w:cs="Arial"/>
          <w:bCs/>
          <w:color w:val="000000" w:themeColor="text1"/>
        </w:rPr>
        <w:t>s</w:t>
      </w:r>
      <w:r w:rsidRPr="009D486E">
        <w:rPr>
          <w:rFonts w:ascii="Arial" w:hAnsi="Arial" w:cs="Arial"/>
          <w:bCs/>
          <w:color w:val="000000" w:themeColor="text1"/>
        </w:rPr>
        <w:t xml:space="preserve"> com ascensão vertical da </w:t>
      </w:r>
      <w:proofErr w:type="spellStart"/>
      <w:r w:rsidRPr="009D486E">
        <w:rPr>
          <w:rFonts w:ascii="Arial" w:hAnsi="Arial" w:cs="Arial"/>
          <w:bCs/>
          <w:color w:val="000000" w:themeColor="text1"/>
        </w:rPr>
        <w:t>hemipelve</w:t>
      </w:r>
      <w:proofErr w:type="spellEnd"/>
      <w:r w:rsidRPr="009D486E">
        <w:rPr>
          <w:rFonts w:ascii="Arial" w:hAnsi="Arial" w:cs="Arial"/>
          <w:bCs/>
          <w:color w:val="000000" w:themeColor="text1"/>
        </w:rPr>
        <w:t>, não sendo</w:t>
      </w:r>
      <w:r w:rsidR="00145444" w:rsidRPr="009D486E">
        <w:rPr>
          <w:rFonts w:ascii="Arial" w:hAnsi="Arial" w:cs="Arial"/>
          <w:bCs/>
          <w:color w:val="000000" w:themeColor="text1"/>
        </w:rPr>
        <w:t>,</w:t>
      </w:r>
      <w:r w:rsidRPr="009D486E">
        <w:rPr>
          <w:rFonts w:ascii="Arial" w:hAnsi="Arial" w:cs="Arial"/>
          <w:bCs/>
          <w:color w:val="000000" w:themeColor="text1"/>
        </w:rPr>
        <w:t xml:space="preserve"> portanto, aplicada a classificação de Denis. </w:t>
      </w:r>
    </w:p>
    <w:p w14:paraId="05E755EA" w14:textId="73C0C637" w:rsidR="00C63F84" w:rsidRPr="009D486E" w:rsidRDefault="00C63F84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</w:rPr>
      </w:pPr>
      <w:r w:rsidRPr="009D486E">
        <w:rPr>
          <w:rFonts w:ascii="Arial" w:hAnsi="Arial" w:cs="Arial"/>
          <w:bCs/>
          <w:color w:val="000000" w:themeColor="text1"/>
        </w:rPr>
        <w:tab/>
        <w:t xml:space="preserve">O tratamento mais utilizado foi a FEP, </w:t>
      </w:r>
      <w:r w:rsidR="0012362D" w:rsidRPr="009D486E">
        <w:rPr>
          <w:rFonts w:ascii="Arial" w:hAnsi="Arial" w:cs="Arial"/>
          <w:bCs/>
          <w:color w:val="000000" w:themeColor="text1"/>
        </w:rPr>
        <w:t>9</w:t>
      </w:r>
      <w:r w:rsidRPr="009D486E">
        <w:rPr>
          <w:rFonts w:ascii="Arial" w:hAnsi="Arial" w:cs="Arial"/>
          <w:bCs/>
          <w:color w:val="000000" w:themeColor="text1"/>
        </w:rPr>
        <w:t xml:space="preserve"> (5</w:t>
      </w:r>
      <w:r w:rsidR="00685B72" w:rsidRPr="009D486E">
        <w:rPr>
          <w:rFonts w:ascii="Arial" w:hAnsi="Arial" w:cs="Arial"/>
          <w:bCs/>
          <w:color w:val="000000" w:themeColor="text1"/>
        </w:rPr>
        <w:t>6,2</w:t>
      </w:r>
      <w:r w:rsidRPr="009D486E">
        <w:rPr>
          <w:rFonts w:ascii="Arial" w:hAnsi="Arial" w:cs="Arial"/>
          <w:bCs/>
          <w:color w:val="000000" w:themeColor="text1"/>
        </w:rPr>
        <w:t>%) casos, seguido por OT, 7 (</w:t>
      </w:r>
      <w:r w:rsidR="00685B72" w:rsidRPr="009D486E">
        <w:rPr>
          <w:rFonts w:ascii="Arial" w:hAnsi="Arial" w:cs="Arial"/>
          <w:bCs/>
          <w:color w:val="000000" w:themeColor="text1"/>
        </w:rPr>
        <w:t>43,3</w:t>
      </w:r>
      <w:r w:rsidRPr="009D486E">
        <w:rPr>
          <w:rFonts w:ascii="Arial" w:hAnsi="Arial" w:cs="Arial"/>
          <w:bCs/>
          <w:color w:val="000000" w:themeColor="text1"/>
        </w:rPr>
        <w:t>%)</w:t>
      </w:r>
      <w:r w:rsidR="0012362D" w:rsidRPr="009D486E">
        <w:rPr>
          <w:rFonts w:ascii="Arial" w:hAnsi="Arial" w:cs="Arial"/>
          <w:bCs/>
          <w:color w:val="000000" w:themeColor="text1"/>
        </w:rPr>
        <w:t xml:space="preserve">. O tempo médio entre o trauma e a fixação definitiva da fratura sacral foi de 50,6 dias (variação de 21 a 120 dias) para o grupo submetido a OT e de 63,4 dias (variação de </w:t>
      </w:r>
      <w:r w:rsidR="00E5526E" w:rsidRPr="009D486E">
        <w:rPr>
          <w:rFonts w:ascii="Arial" w:hAnsi="Arial" w:cs="Arial"/>
          <w:bCs/>
          <w:color w:val="000000" w:themeColor="text1"/>
        </w:rPr>
        <w:t xml:space="preserve">21 a 210) para os submetidos a FEP. O intervalo entre o procedimento cirúrgico e a alta hospitalar foi de 6 e 27 dias para os grupos submetidos a OT e FEP, respectivamente (Tabela 3). </w:t>
      </w:r>
    </w:p>
    <w:p w14:paraId="16D79B25" w14:textId="6F7D99A9" w:rsidR="00C63F84" w:rsidRPr="009D486E" w:rsidRDefault="00E5526E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bCs/>
          <w:color w:val="000000" w:themeColor="text1"/>
        </w:rPr>
      </w:pPr>
      <w:r w:rsidRPr="009D486E">
        <w:rPr>
          <w:rFonts w:ascii="Arial" w:hAnsi="Arial" w:cs="Arial"/>
          <w:bCs/>
          <w:color w:val="000000" w:themeColor="text1"/>
        </w:rPr>
        <w:t xml:space="preserve">O tempo médio cirúrgico foi 3,6 horas para OT e 4,9 horas para FEP. 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Durante o seguimento, que variou de </w:t>
      </w:r>
      <w:r w:rsidR="0012362D" w:rsidRPr="009D486E">
        <w:rPr>
          <w:rFonts w:ascii="Arial" w:hAnsi="Arial" w:cs="Arial"/>
          <w:bCs/>
          <w:color w:val="000000" w:themeColor="text1"/>
        </w:rPr>
        <w:t>12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 a </w:t>
      </w:r>
      <w:r w:rsidR="0012362D" w:rsidRPr="009D486E">
        <w:rPr>
          <w:rFonts w:ascii="Arial" w:hAnsi="Arial" w:cs="Arial"/>
          <w:bCs/>
          <w:color w:val="000000" w:themeColor="text1"/>
        </w:rPr>
        <w:t>84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 meses (média de </w:t>
      </w:r>
      <w:r w:rsidR="0012362D" w:rsidRPr="009D486E">
        <w:rPr>
          <w:rFonts w:ascii="Arial" w:hAnsi="Arial" w:cs="Arial"/>
          <w:bCs/>
          <w:color w:val="000000" w:themeColor="text1"/>
        </w:rPr>
        <w:t>46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,9 meses), </w:t>
      </w:r>
      <w:r w:rsidR="00C63F84" w:rsidRPr="00CD1A21">
        <w:rPr>
          <w:rFonts w:ascii="Arial" w:hAnsi="Arial" w:cs="Arial"/>
          <w:bCs/>
          <w:color w:val="000000" w:themeColor="text1"/>
        </w:rPr>
        <w:t xml:space="preserve">ocorreram complicações pós-operatórias em </w:t>
      </w:r>
      <w:r w:rsidRPr="00CD1A21">
        <w:rPr>
          <w:rFonts w:ascii="Arial" w:hAnsi="Arial" w:cs="Arial"/>
          <w:bCs/>
          <w:color w:val="000000" w:themeColor="text1"/>
        </w:rPr>
        <w:t>4</w:t>
      </w:r>
      <w:r w:rsidR="00C450D2">
        <w:rPr>
          <w:rFonts w:ascii="Arial" w:hAnsi="Arial" w:cs="Arial"/>
          <w:bCs/>
          <w:color w:val="000000" w:themeColor="text1"/>
        </w:rPr>
        <w:t xml:space="preserve"> </w:t>
      </w:r>
      <w:r w:rsidR="00C63F84" w:rsidRPr="009D486E">
        <w:rPr>
          <w:rFonts w:ascii="Arial" w:hAnsi="Arial" w:cs="Arial"/>
          <w:bCs/>
          <w:color w:val="000000" w:themeColor="text1"/>
        </w:rPr>
        <w:t>(</w:t>
      </w:r>
      <w:r w:rsidR="00287F7B">
        <w:rPr>
          <w:rFonts w:ascii="Arial" w:hAnsi="Arial" w:cs="Arial"/>
          <w:bCs/>
          <w:color w:val="000000" w:themeColor="text1"/>
        </w:rPr>
        <w:t>44,4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%) pacientes </w:t>
      </w:r>
      <w:r w:rsidR="00C450D2" w:rsidRPr="00CD1A21">
        <w:rPr>
          <w:rFonts w:ascii="Arial" w:hAnsi="Arial" w:cs="Arial"/>
          <w:bCs/>
          <w:color w:val="000000" w:themeColor="text1"/>
        </w:rPr>
        <w:t xml:space="preserve">submetidos a FEP, </w:t>
      </w:r>
      <w:r w:rsidR="00C63F84" w:rsidRPr="00CD1A21">
        <w:rPr>
          <w:rFonts w:ascii="Arial" w:hAnsi="Arial" w:cs="Arial"/>
          <w:bCs/>
          <w:color w:val="000000" w:themeColor="text1"/>
        </w:rPr>
        <w:t xml:space="preserve">e em </w:t>
      </w:r>
      <w:r w:rsidRPr="00CD1A21">
        <w:rPr>
          <w:rFonts w:ascii="Arial" w:hAnsi="Arial" w:cs="Arial"/>
          <w:bCs/>
          <w:color w:val="000000" w:themeColor="text1"/>
        </w:rPr>
        <w:t>to</w:t>
      </w:r>
      <w:r w:rsidRPr="009D486E">
        <w:rPr>
          <w:rFonts w:ascii="Arial" w:hAnsi="Arial" w:cs="Arial"/>
          <w:bCs/>
          <w:color w:val="000000" w:themeColor="text1"/>
        </w:rPr>
        <w:t>dos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 foram necessários ao menos um retorno não planejado à sala de cirurgia. Entre as complicações, a mais frequente foi a infecção do sítio cirúrgico que ocorreu em </w:t>
      </w:r>
      <w:r w:rsidRPr="009D486E">
        <w:rPr>
          <w:rFonts w:ascii="Arial" w:hAnsi="Arial" w:cs="Arial"/>
          <w:bCs/>
          <w:color w:val="000000" w:themeColor="text1"/>
        </w:rPr>
        <w:t>3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 (</w:t>
      </w:r>
      <w:r w:rsidR="00287F7B">
        <w:rPr>
          <w:rFonts w:ascii="Arial" w:hAnsi="Arial" w:cs="Arial"/>
          <w:bCs/>
          <w:color w:val="000000" w:themeColor="text1"/>
        </w:rPr>
        <w:t>33,3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%). </w:t>
      </w:r>
      <w:r w:rsidRPr="009D486E">
        <w:rPr>
          <w:rFonts w:ascii="Arial" w:hAnsi="Arial" w:cs="Arial"/>
          <w:bCs/>
          <w:color w:val="000000" w:themeColor="text1"/>
        </w:rPr>
        <w:t>Em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 1 (</w:t>
      </w:r>
      <w:r w:rsidR="00287F7B">
        <w:rPr>
          <w:rFonts w:ascii="Arial" w:hAnsi="Arial" w:cs="Arial"/>
          <w:bCs/>
          <w:color w:val="000000" w:themeColor="text1"/>
        </w:rPr>
        <w:t>11,1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%) </w:t>
      </w:r>
      <w:r w:rsidR="00287F7B">
        <w:rPr>
          <w:rFonts w:ascii="Arial" w:hAnsi="Arial" w:cs="Arial"/>
          <w:bCs/>
          <w:color w:val="000000" w:themeColor="text1"/>
        </w:rPr>
        <w:t xml:space="preserve">houve necessidade de reposicionamento do parafuso de S1 por </w:t>
      </w:r>
      <w:proofErr w:type="spellStart"/>
      <w:r w:rsidR="00287F7B">
        <w:rPr>
          <w:rFonts w:ascii="Arial" w:hAnsi="Arial" w:cs="Arial"/>
          <w:bCs/>
          <w:color w:val="000000" w:themeColor="text1"/>
        </w:rPr>
        <w:t>radiculopatia</w:t>
      </w:r>
      <w:proofErr w:type="spellEnd"/>
      <w:r w:rsidRPr="009D486E">
        <w:rPr>
          <w:rFonts w:ascii="Arial" w:hAnsi="Arial" w:cs="Arial"/>
          <w:bCs/>
          <w:color w:val="000000" w:themeColor="text1"/>
        </w:rPr>
        <w:t>.</w:t>
      </w:r>
      <w:r w:rsidR="00C63F84" w:rsidRPr="009D486E">
        <w:rPr>
          <w:rFonts w:ascii="Arial" w:hAnsi="Arial" w:cs="Arial"/>
          <w:bCs/>
          <w:color w:val="000000" w:themeColor="text1"/>
        </w:rPr>
        <w:t xml:space="preserve"> </w:t>
      </w:r>
      <w:r w:rsidR="00685B72" w:rsidRPr="009D486E">
        <w:rPr>
          <w:rFonts w:ascii="Arial" w:hAnsi="Arial" w:cs="Arial"/>
          <w:bCs/>
          <w:color w:val="000000" w:themeColor="text1"/>
        </w:rPr>
        <w:t xml:space="preserve"> Não </w:t>
      </w:r>
      <w:r w:rsidR="00C450D2" w:rsidRPr="009D486E">
        <w:rPr>
          <w:rFonts w:ascii="Arial" w:hAnsi="Arial" w:cs="Arial"/>
          <w:bCs/>
          <w:color w:val="000000" w:themeColor="text1"/>
        </w:rPr>
        <w:t>houve</w:t>
      </w:r>
      <w:r w:rsidR="00685B72" w:rsidRPr="009D486E">
        <w:rPr>
          <w:rFonts w:ascii="Arial" w:hAnsi="Arial" w:cs="Arial"/>
          <w:bCs/>
          <w:color w:val="000000" w:themeColor="text1"/>
        </w:rPr>
        <w:t xml:space="preserve"> complicações pós-operatórias no grupo submetido ao procedimento de OT.</w:t>
      </w:r>
    </w:p>
    <w:tbl>
      <w:tblPr>
        <w:tblW w:w="90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2977"/>
        <w:gridCol w:w="2066"/>
      </w:tblGrid>
      <w:tr w:rsidR="00E5526E" w:rsidRPr="006D664B" w14:paraId="1D26DCDE" w14:textId="77777777" w:rsidTr="00091964">
        <w:trPr>
          <w:trHeight w:val="318"/>
        </w:trPr>
        <w:tc>
          <w:tcPr>
            <w:tcW w:w="3984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7E340834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977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2D2BBDF6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Osteossí</w:t>
            </w:r>
            <w:r w:rsidRPr="006D664B">
              <w:rPr>
                <w:rFonts w:ascii="Calibri" w:hAnsi="Calibri" w:cs="Calibri"/>
                <w:b/>
                <w:bCs/>
              </w:rPr>
              <w:t>ntese</w:t>
            </w:r>
            <w:proofErr w:type="spellEnd"/>
            <w:r w:rsidRPr="006D664B">
              <w:rPr>
                <w:rFonts w:ascii="Calibri" w:hAnsi="Calibri" w:cs="Calibri"/>
                <w:b/>
                <w:bCs/>
              </w:rPr>
              <w:t xml:space="preserve"> triangular</w:t>
            </w:r>
          </w:p>
        </w:tc>
        <w:tc>
          <w:tcPr>
            <w:tcW w:w="206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bottom"/>
            <w:hideMark/>
          </w:tcPr>
          <w:p w14:paraId="02233EA4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6D664B">
              <w:rPr>
                <w:rFonts w:ascii="Calibri" w:hAnsi="Calibri" w:cs="Calibri"/>
                <w:b/>
                <w:bCs/>
              </w:rPr>
              <w:t>Lombopélvica</w:t>
            </w:r>
            <w:proofErr w:type="spellEnd"/>
          </w:p>
        </w:tc>
      </w:tr>
      <w:tr w:rsidR="00E5526E" w:rsidRPr="006D664B" w14:paraId="3747B84A" w14:textId="77777777" w:rsidTr="00091964">
        <w:trPr>
          <w:trHeight w:val="318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76F3E878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062A40CE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7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1E04C008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9</w:t>
            </w:r>
          </w:p>
        </w:tc>
      </w:tr>
      <w:tr w:rsidR="00E5526E" w:rsidRPr="006D664B" w14:paraId="732DA3E5" w14:textId="77777777" w:rsidTr="00091964">
        <w:trPr>
          <w:trHeight w:val="318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D05D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Tempo entre a lesão e a cirurgia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dias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65B1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50,6 dias (21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120)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EBFA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63</w:t>
            </w:r>
            <w:r>
              <w:rPr>
                <w:rFonts w:ascii="Calibri" w:hAnsi="Calibri" w:cs="Calibri"/>
              </w:rPr>
              <w:t>,</w:t>
            </w:r>
            <w:r w:rsidRPr="006D664B">
              <w:rPr>
                <w:rFonts w:ascii="Calibri" w:hAnsi="Calibri" w:cs="Calibri"/>
              </w:rPr>
              <w:t>4 dias (21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210)</w:t>
            </w:r>
          </w:p>
        </w:tc>
      </w:tr>
      <w:tr w:rsidR="00E5526E" w:rsidRPr="006D664B" w14:paraId="09900BA2" w14:textId="77777777" w:rsidTr="00091964">
        <w:trPr>
          <w:trHeight w:val="318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8F56C5F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Tempo entre internação e cirurgia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dias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A4B4CCF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11 dias (1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22)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75CE61EF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14 dias (6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23)</w:t>
            </w:r>
          </w:p>
        </w:tc>
      </w:tr>
      <w:tr w:rsidR="00E5526E" w:rsidRPr="006D664B" w14:paraId="002BB78E" w14:textId="77777777" w:rsidTr="00091964">
        <w:trPr>
          <w:trHeight w:val="318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F86D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Tempo entre cirurgia e alta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dias</w:t>
            </w: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5EBE" w14:textId="7D3B19C3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6 dias (3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14)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5D49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27 dias (2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106)</w:t>
            </w:r>
          </w:p>
        </w:tc>
      </w:tr>
      <w:tr w:rsidR="00E5526E" w:rsidRPr="006D664B" w14:paraId="0FE87FAF" w14:textId="77777777" w:rsidTr="00091964">
        <w:trPr>
          <w:trHeight w:val="318"/>
        </w:trPr>
        <w:tc>
          <w:tcPr>
            <w:tcW w:w="3984" w:type="dxa"/>
            <w:tcBorders>
              <w:top w:val="nil"/>
              <w:left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282D63C8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Tempo de cirurgia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horas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7059B50A" w14:textId="42D09420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3,6 h (2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r w:rsidRPr="006D664B">
              <w:rPr>
                <w:rFonts w:ascii="Calibri" w:hAnsi="Calibri" w:cs="Calibri"/>
              </w:rPr>
              <w:t>8)</w:t>
            </w:r>
          </w:p>
        </w:tc>
        <w:tc>
          <w:tcPr>
            <w:tcW w:w="2066" w:type="dxa"/>
            <w:tcBorders>
              <w:top w:val="nil"/>
              <w:left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C833080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4,9 h (2 - 7,5</w:t>
            </w:r>
            <w:r w:rsidRPr="006D664B">
              <w:rPr>
                <w:rFonts w:ascii="Calibri" w:hAnsi="Calibri" w:cs="Calibri"/>
              </w:rPr>
              <w:t>)</w:t>
            </w:r>
          </w:p>
        </w:tc>
      </w:tr>
      <w:tr w:rsidR="00E5526E" w:rsidRPr="006D664B" w14:paraId="4796D354" w14:textId="77777777" w:rsidTr="00091964">
        <w:trPr>
          <w:trHeight w:val="318"/>
        </w:trPr>
        <w:tc>
          <w:tcPr>
            <w:tcW w:w="3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7269A" w14:textId="77777777" w:rsidR="00E5526E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 w:rsidRPr="006D664B">
              <w:rPr>
                <w:rFonts w:ascii="Calibri" w:hAnsi="Calibri" w:cs="Calibri"/>
              </w:rPr>
              <w:t>Complicações</w:t>
            </w:r>
            <w:r w:rsidRPr="00393251">
              <w:rPr>
                <w:rFonts w:ascii="Calibri" w:hAnsi="Calibri" w:cs="Calibri"/>
                <w:i/>
                <w:sz w:val="20"/>
                <w:szCs w:val="20"/>
              </w:rPr>
              <w:t>, n</w:t>
            </w:r>
          </w:p>
          <w:p w14:paraId="2710CD78" w14:textId="77777777" w:rsidR="00E5526E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Infecção</w:t>
            </w:r>
          </w:p>
          <w:p w14:paraId="4AA7412C" w14:textId="77777777" w:rsidR="00E5526E" w:rsidRPr="006D664B" w:rsidRDefault="00E5526E" w:rsidP="002E05AE">
            <w:pPr>
              <w:spacing w:line="48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Mau posicionamento dos parafusos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C00E4" w14:textId="77777777" w:rsidR="00E5526E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  <w:p w14:paraId="693ADE60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207E2" w14:textId="77777777" w:rsidR="00E5526E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  <w:p w14:paraId="3BA51802" w14:textId="77777777" w:rsidR="00E5526E" w:rsidRPr="006D664B" w:rsidRDefault="00E5526E" w:rsidP="002E05AE">
            <w:pPr>
              <w:spacing w:line="48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 w14:paraId="44163963" w14:textId="03EB1B9A" w:rsidR="00E5526E" w:rsidRPr="00685B72" w:rsidRDefault="00E5526E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  <w:sz w:val="15"/>
          <w:szCs w:val="15"/>
        </w:rPr>
      </w:pPr>
      <w:r w:rsidRPr="00685B72">
        <w:rPr>
          <w:rFonts w:ascii="Arial" w:hAnsi="Arial" w:cs="Arial"/>
          <w:b/>
          <w:color w:val="000000" w:themeColor="text1"/>
          <w:sz w:val="15"/>
          <w:szCs w:val="15"/>
        </w:rPr>
        <w:t>Tabela 3</w:t>
      </w:r>
      <w:r w:rsidRPr="00685B72">
        <w:rPr>
          <w:rFonts w:ascii="Arial" w:hAnsi="Arial" w:cs="Arial"/>
          <w:bCs/>
          <w:color w:val="000000" w:themeColor="text1"/>
          <w:sz w:val="15"/>
          <w:szCs w:val="15"/>
        </w:rPr>
        <w:t xml:space="preserve">: Intervalos de tempo entre </w:t>
      </w:r>
      <w:r w:rsidR="00B81D06" w:rsidRPr="00685B72">
        <w:rPr>
          <w:rFonts w:ascii="Arial" w:hAnsi="Arial" w:cs="Arial"/>
          <w:bCs/>
          <w:color w:val="000000" w:themeColor="text1"/>
          <w:sz w:val="15"/>
          <w:szCs w:val="15"/>
        </w:rPr>
        <w:t>trauma, internação e alta hospitalar e o procedimento cirúrgico; tempo médio de cirurgia e complicações pós-operatórias</w:t>
      </w:r>
      <w:r w:rsidRPr="00685B72">
        <w:rPr>
          <w:rFonts w:ascii="Arial" w:hAnsi="Arial" w:cs="Arial"/>
          <w:bCs/>
          <w:color w:val="000000" w:themeColor="text1"/>
          <w:sz w:val="15"/>
          <w:szCs w:val="15"/>
        </w:rPr>
        <w:t>.</w:t>
      </w:r>
    </w:p>
    <w:p w14:paraId="55C19312" w14:textId="77777777" w:rsidR="00E5526E" w:rsidRDefault="00E5526E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bCs/>
          <w:color w:val="FF0000"/>
        </w:rPr>
      </w:pPr>
    </w:p>
    <w:p w14:paraId="0BD3DF84" w14:textId="25F4F74D" w:rsidR="00A955C2" w:rsidRDefault="00A955C2" w:rsidP="002E05AE">
      <w:pPr>
        <w:pStyle w:val="NormalWeb"/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DISCUSSÃO:</w:t>
      </w:r>
    </w:p>
    <w:p w14:paraId="4A5E1549" w14:textId="09EBBA9E" w:rsidR="00923C23" w:rsidRPr="00304427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304427">
        <w:rPr>
          <w:rFonts w:ascii="Arial" w:hAnsi="Arial" w:cs="Arial"/>
          <w:color w:val="000000" w:themeColor="text1"/>
        </w:rPr>
        <w:t xml:space="preserve">Devido à natureza instável das lesões complexas do sacro e à evolução das técnicas de fixação </w:t>
      </w:r>
      <w:proofErr w:type="spellStart"/>
      <w:r w:rsidRPr="00304427">
        <w:rPr>
          <w:rFonts w:ascii="Arial" w:hAnsi="Arial" w:cs="Arial"/>
          <w:color w:val="000000" w:themeColor="text1"/>
        </w:rPr>
        <w:t>espinopélvica</w:t>
      </w:r>
      <w:proofErr w:type="spellEnd"/>
      <w:r w:rsidRPr="00304427">
        <w:rPr>
          <w:rFonts w:ascii="Arial" w:hAnsi="Arial" w:cs="Arial"/>
          <w:color w:val="000000" w:themeColor="text1"/>
        </w:rPr>
        <w:t>, o tratamento cirúrgico se tornou o de escolha</w:t>
      </w:r>
      <w:r w:rsidR="00D87F77">
        <w:rPr>
          <w:rFonts w:ascii="Arial" w:hAnsi="Arial" w:cs="Arial"/>
          <w:color w:val="000000" w:themeColor="text1"/>
          <w:vertAlign w:val="superscript"/>
        </w:rPr>
        <w:t>9</w:t>
      </w:r>
      <w:r w:rsidRPr="00304427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O</w:t>
      </w:r>
      <w:r w:rsidRPr="00304427">
        <w:rPr>
          <w:rFonts w:ascii="Arial" w:hAnsi="Arial" w:cs="Arial"/>
          <w:color w:val="000000" w:themeColor="text1"/>
        </w:rPr>
        <w:t xml:space="preserve"> tratamento conservador </w:t>
      </w:r>
      <w:r>
        <w:rPr>
          <w:rFonts w:ascii="Arial" w:hAnsi="Arial" w:cs="Arial"/>
          <w:color w:val="000000" w:themeColor="text1"/>
        </w:rPr>
        <w:t>permanece</w:t>
      </w:r>
      <w:r w:rsidRPr="00304427">
        <w:rPr>
          <w:rFonts w:ascii="Arial" w:hAnsi="Arial" w:cs="Arial"/>
          <w:color w:val="000000" w:themeColor="text1"/>
        </w:rPr>
        <w:t xml:space="preserve"> reservado para os pacientes </w:t>
      </w:r>
      <w:r>
        <w:rPr>
          <w:rFonts w:ascii="Arial" w:hAnsi="Arial" w:cs="Arial"/>
          <w:color w:val="000000" w:themeColor="text1"/>
        </w:rPr>
        <w:t xml:space="preserve">com comprometimento clínico </w:t>
      </w:r>
      <w:r w:rsidRPr="00304427">
        <w:rPr>
          <w:rFonts w:ascii="Arial" w:hAnsi="Arial" w:cs="Arial"/>
          <w:color w:val="000000" w:themeColor="text1"/>
        </w:rPr>
        <w:t xml:space="preserve">que não tolerariam o procedimento </w:t>
      </w:r>
      <w:r>
        <w:rPr>
          <w:rFonts w:ascii="Arial" w:hAnsi="Arial" w:cs="Arial"/>
          <w:color w:val="000000" w:themeColor="text1"/>
        </w:rPr>
        <w:t>invasivo</w:t>
      </w:r>
      <w:r w:rsidR="00D87F77">
        <w:rPr>
          <w:rFonts w:ascii="Arial" w:hAnsi="Arial" w:cs="Arial"/>
          <w:color w:val="000000" w:themeColor="text1"/>
          <w:vertAlign w:val="superscript"/>
        </w:rPr>
        <w:t>10</w:t>
      </w:r>
      <w:r w:rsidRPr="00304427">
        <w:rPr>
          <w:rFonts w:ascii="Arial" w:hAnsi="Arial" w:cs="Arial"/>
          <w:color w:val="000000" w:themeColor="text1"/>
        </w:rPr>
        <w:t>. No entanto</w:t>
      </w:r>
      <w:r>
        <w:rPr>
          <w:rFonts w:ascii="Arial" w:hAnsi="Arial" w:cs="Arial"/>
          <w:color w:val="000000" w:themeColor="text1"/>
        </w:rPr>
        <w:t xml:space="preserve"> ele </w:t>
      </w:r>
      <w:r w:rsidRPr="00304427">
        <w:rPr>
          <w:rFonts w:ascii="Arial" w:hAnsi="Arial" w:cs="Arial"/>
          <w:color w:val="000000" w:themeColor="text1"/>
        </w:rPr>
        <w:t xml:space="preserve">não é isento de complicações e está relacionado a alterações tromboembólicas, lesões de pele, </w:t>
      </w:r>
      <w:r w:rsidR="009D486E">
        <w:rPr>
          <w:rFonts w:ascii="Arial" w:hAnsi="Arial" w:cs="Arial"/>
          <w:color w:val="000000" w:themeColor="text1"/>
        </w:rPr>
        <w:t xml:space="preserve">deterioração dos parâmetros </w:t>
      </w:r>
      <w:proofErr w:type="spellStart"/>
      <w:r w:rsidR="009D486E">
        <w:rPr>
          <w:rFonts w:ascii="Arial" w:hAnsi="Arial" w:cs="Arial"/>
          <w:color w:val="000000" w:themeColor="text1"/>
        </w:rPr>
        <w:t>espinopélvicos</w:t>
      </w:r>
      <w:proofErr w:type="spellEnd"/>
      <w:r>
        <w:rPr>
          <w:rFonts w:ascii="Arial" w:hAnsi="Arial" w:cs="Arial"/>
          <w:color w:val="000000" w:themeColor="text1"/>
        </w:rPr>
        <w:t>,</w:t>
      </w:r>
      <w:r w:rsidRPr="00304427">
        <w:rPr>
          <w:rFonts w:ascii="Arial" w:hAnsi="Arial" w:cs="Arial"/>
          <w:color w:val="000000" w:themeColor="text1"/>
        </w:rPr>
        <w:t xml:space="preserve"> dor residual e dismetria dos membros inferiores</w:t>
      </w:r>
      <w:r w:rsidRPr="00304427">
        <w:rPr>
          <w:rFonts w:ascii="Arial" w:hAnsi="Arial" w:cs="Arial"/>
          <w:color w:val="000000" w:themeColor="text1"/>
          <w:vertAlign w:val="superscript"/>
        </w:rPr>
        <w:t>1,</w:t>
      </w:r>
      <w:r>
        <w:rPr>
          <w:rFonts w:ascii="Arial" w:hAnsi="Arial" w:cs="Arial"/>
          <w:color w:val="000000" w:themeColor="text1"/>
          <w:vertAlign w:val="superscript"/>
        </w:rPr>
        <w:t>5</w:t>
      </w:r>
      <w:r w:rsidR="00D87F77">
        <w:rPr>
          <w:rFonts w:ascii="Arial" w:hAnsi="Arial" w:cs="Arial"/>
          <w:color w:val="000000" w:themeColor="text1"/>
          <w:vertAlign w:val="superscript"/>
        </w:rPr>
        <w:t>,11,12</w:t>
      </w:r>
      <w:r w:rsidRPr="00304427">
        <w:rPr>
          <w:rFonts w:ascii="Arial" w:hAnsi="Arial" w:cs="Arial"/>
          <w:color w:val="000000" w:themeColor="text1"/>
        </w:rPr>
        <w:t>.</w:t>
      </w:r>
    </w:p>
    <w:p w14:paraId="16637481" w14:textId="53E35028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bCs/>
          <w:color w:val="000000" w:themeColor="text1"/>
        </w:rPr>
      </w:pPr>
      <w:r w:rsidRPr="00304427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s </w:t>
      </w:r>
      <w:r w:rsidRPr="00304427">
        <w:rPr>
          <w:rFonts w:ascii="Arial" w:hAnsi="Arial" w:cs="Arial"/>
          <w:color w:val="000000" w:themeColor="text1"/>
        </w:rPr>
        <w:t xml:space="preserve">tentativas iniciais de fixação das fraturas sacrais com instabilidade </w:t>
      </w:r>
      <w:proofErr w:type="spellStart"/>
      <w:r w:rsidRPr="00304427">
        <w:rPr>
          <w:rFonts w:ascii="Arial" w:hAnsi="Arial" w:cs="Arial"/>
          <w:color w:val="000000" w:themeColor="text1"/>
        </w:rPr>
        <w:t>espinopélvica</w:t>
      </w:r>
      <w:proofErr w:type="spellEnd"/>
      <w:r w:rsidRPr="00304427">
        <w:rPr>
          <w:rFonts w:ascii="Arial" w:hAnsi="Arial" w:cs="Arial"/>
          <w:color w:val="000000" w:themeColor="text1"/>
        </w:rPr>
        <w:t xml:space="preserve"> foram feitas com fios </w:t>
      </w:r>
      <w:proofErr w:type="spellStart"/>
      <w:r w:rsidRPr="00304427">
        <w:rPr>
          <w:rFonts w:ascii="Arial" w:hAnsi="Arial" w:cs="Arial"/>
          <w:color w:val="000000" w:themeColor="text1"/>
        </w:rPr>
        <w:t>sublaminares</w:t>
      </w:r>
      <w:proofErr w:type="spellEnd"/>
      <w:r w:rsidRPr="00304427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vertAlign w:val="superscript"/>
        </w:rPr>
        <w:t>8,</w:t>
      </w:r>
      <w:r w:rsidR="00D87F77">
        <w:rPr>
          <w:rFonts w:ascii="Arial" w:hAnsi="Arial" w:cs="Arial"/>
          <w:color w:val="000000" w:themeColor="text1"/>
          <w:vertAlign w:val="superscript"/>
        </w:rPr>
        <w:t>13</w:t>
      </w:r>
      <w:r w:rsidRPr="00304427">
        <w:rPr>
          <w:rFonts w:ascii="Arial" w:hAnsi="Arial" w:cs="Arial"/>
          <w:color w:val="000000" w:themeColor="text1"/>
        </w:rPr>
        <w:t xml:space="preserve">. Porém, a ineficácia dessa </w:t>
      </w:r>
      <w:r w:rsidRPr="00304427">
        <w:rPr>
          <w:rFonts w:ascii="Arial" w:hAnsi="Arial" w:cs="Arial"/>
          <w:color w:val="000000" w:themeColor="text1"/>
        </w:rPr>
        <w:lastRenderedPageBreak/>
        <w:t xml:space="preserve">técnica, no que diz respeito à estabilização e resistência às forças deformantes no plano axial e sagital, conduzia a desfechos limitados </w:t>
      </w:r>
      <w:r>
        <w:rPr>
          <w:rFonts w:ascii="Arial" w:hAnsi="Arial" w:cs="Arial"/>
          <w:color w:val="000000" w:themeColor="text1"/>
          <w:vertAlign w:val="superscript"/>
        </w:rPr>
        <w:t>8,</w:t>
      </w:r>
      <w:r w:rsidR="00D87F77">
        <w:rPr>
          <w:rFonts w:ascii="Arial" w:hAnsi="Arial" w:cs="Arial"/>
          <w:color w:val="000000" w:themeColor="text1"/>
          <w:vertAlign w:val="superscript"/>
        </w:rPr>
        <w:t>13</w:t>
      </w:r>
      <w:r w:rsidRPr="00304427">
        <w:rPr>
          <w:rFonts w:ascii="Arial" w:hAnsi="Arial" w:cs="Arial"/>
          <w:color w:val="000000" w:themeColor="text1"/>
        </w:rPr>
        <w:t xml:space="preserve">. Foi após o surgimento da técnica de </w:t>
      </w:r>
      <w:proofErr w:type="spellStart"/>
      <w:r w:rsidRPr="00304427">
        <w:rPr>
          <w:rFonts w:ascii="Arial" w:hAnsi="Arial" w:cs="Arial"/>
          <w:color w:val="000000" w:themeColor="text1"/>
        </w:rPr>
        <w:t>Galveston</w:t>
      </w:r>
      <w:proofErr w:type="spellEnd"/>
      <w:r w:rsidRPr="00304427">
        <w:rPr>
          <w:rFonts w:ascii="Arial" w:hAnsi="Arial" w:cs="Arial"/>
          <w:color w:val="000000" w:themeColor="text1"/>
        </w:rPr>
        <w:t xml:space="preserve"> que os sistemas de fixação </w:t>
      </w:r>
      <w:proofErr w:type="spellStart"/>
      <w:r w:rsidRPr="00304427">
        <w:rPr>
          <w:rFonts w:ascii="Arial" w:hAnsi="Arial" w:cs="Arial"/>
          <w:color w:val="000000" w:themeColor="text1"/>
        </w:rPr>
        <w:t>espinopélvica</w:t>
      </w:r>
      <w:proofErr w:type="spellEnd"/>
      <w:r w:rsidRPr="00304427">
        <w:rPr>
          <w:rFonts w:ascii="Arial" w:hAnsi="Arial" w:cs="Arial"/>
          <w:color w:val="000000" w:themeColor="text1"/>
        </w:rPr>
        <w:t xml:space="preserve"> apresentaram melhores resultados pós</w:t>
      </w:r>
      <w:r w:rsidR="00D87F77">
        <w:rPr>
          <w:rFonts w:ascii="Arial" w:hAnsi="Arial" w:cs="Arial"/>
          <w:color w:val="000000" w:themeColor="text1"/>
        </w:rPr>
        <w:t xml:space="preserve"> </w:t>
      </w:r>
      <w:r w:rsidRPr="00304427">
        <w:rPr>
          <w:rFonts w:ascii="Arial" w:hAnsi="Arial" w:cs="Arial"/>
          <w:color w:val="000000" w:themeColor="text1"/>
        </w:rPr>
        <w:t>operatórios</w:t>
      </w:r>
      <w:r w:rsidR="00D87F77">
        <w:rPr>
          <w:rFonts w:ascii="Arial" w:hAnsi="Arial" w:cs="Arial"/>
          <w:color w:val="000000" w:themeColor="text1"/>
          <w:vertAlign w:val="superscript"/>
        </w:rPr>
        <w:t>13</w:t>
      </w:r>
      <w:r w:rsidRPr="00304427">
        <w:rPr>
          <w:rFonts w:ascii="Arial" w:hAnsi="Arial" w:cs="Arial"/>
          <w:color w:val="000000" w:themeColor="text1"/>
        </w:rPr>
        <w:t xml:space="preserve">. Com o avanço em relação a essa técnica, surgiram os parafusos de ilíaco, posicionados entre a tábua interna e externa da asa ilíaca, acoplados por meio de haste de conexão aos parafusos pediculares das vértebras lombares e sacral, aumentando significativamente a estabilidade e rigidez do sistema e diminuindo os índices de </w:t>
      </w:r>
      <w:proofErr w:type="spellStart"/>
      <w:r w:rsidRPr="00304427">
        <w:rPr>
          <w:rFonts w:ascii="Arial" w:hAnsi="Arial" w:cs="Arial"/>
          <w:color w:val="000000" w:themeColor="text1"/>
        </w:rPr>
        <w:t>pseudoartrose</w:t>
      </w:r>
      <w:proofErr w:type="spellEnd"/>
      <w:r w:rsidRPr="00304427">
        <w:rPr>
          <w:rFonts w:ascii="Arial" w:hAnsi="Arial" w:cs="Arial"/>
          <w:color w:val="000000" w:themeColor="text1"/>
        </w:rPr>
        <w:t xml:space="preserve"> </w:t>
      </w:r>
      <w:r w:rsidR="00D87F77">
        <w:rPr>
          <w:rFonts w:ascii="Arial" w:hAnsi="Arial" w:cs="Arial"/>
          <w:color w:val="000000" w:themeColor="text1"/>
          <w:vertAlign w:val="superscript"/>
        </w:rPr>
        <w:t>13,14</w:t>
      </w:r>
      <w:r>
        <w:rPr>
          <w:rFonts w:ascii="Arial" w:hAnsi="Arial" w:cs="Arial"/>
          <w:color w:val="000000" w:themeColor="text1"/>
          <w:vertAlign w:val="superscript"/>
        </w:rPr>
        <w:t xml:space="preserve"> </w:t>
      </w:r>
      <w:r>
        <w:rPr>
          <w:rFonts w:ascii="Arial" w:hAnsi="Arial" w:cs="Arial"/>
          <w:bCs/>
          <w:color w:val="000000" w:themeColor="text1"/>
        </w:rPr>
        <w:t>(Figura 1).</w:t>
      </w:r>
    </w:p>
    <w:p w14:paraId="00792A52" w14:textId="77777777" w:rsidR="00923C23" w:rsidRDefault="00923C23" w:rsidP="002E05AE">
      <w:pPr>
        <w:pStyle w:val="NormalWeb"/>
        <w:spacing w:line="480" w:lineRule="auto"/>
        <w:jc w:val="both"/>
        <w:rPr>
          <w:rFonts w:ascii="Arial" w:hAnsi="Arial" w:cs="Arial"/>
          <w:bCs/>
          <w:color w:val="000000" w:themeColor="text1"/>
        </w:rPr>
      </w:pPr>
      <w:r w:rsidRPr="00CB4E25">
        <w:rPr>
          <w:rFonts w:ascii="Arial" w:hAnsi="Arial" w:cs="Arial"/>
          <w:noProof/>
        </w:rPr>
        <w:drawing>
          <wp:inline distT="0" distB="0" distL="0" distR="0" wp14:anchorId="064DB799" wp14:editId="6E892413">
            <wp:extent cx="5396230" cy="3084830"/>
            <wp:effectExtent l="0" t="0" r="1270" b="1270"/>
            <wp:docPr id="3" name="Imagem 3" descr="Foto em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oto em preto e branco&#10;&#10;Descrição gerada automaticamente com confiança mé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3AC5" w14:textId="77777777" w:rsidR="00923C23" w:rsidRPr="00255D92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55DE1">
        <w:rPr>
          <w:rFonts w:ascii="Arial" w:hAnsi="Arial" w:cs="Arial"/>
          <w:b/>
          <w:bCs/>
          <w:sz w:val="15"/>
          <w:szCs w:val="15"/>
        </w:rPr>
        <w:t>Fig. 1</w:t>
      </w:r>
      <w:r w:rsidRPr="00255D92">
        <w:rPr>
          <w:rFonts w:ascii="Arial" w:hAnsi="Arial" w:cs="Arial"/>
          <w:sz w:val="15"/>
          <w:szCs w:val="15"/>
        </w:rPr>
        <w:t xml:space="preserve">: Paciente do sexo feminino, 31 anos de idade, vítima de queda de 3 metros de altura. Ao exame neurológico, </w:t>
      </w:r>
      <w:proofErr w:type="spellStart"/>
      <w:r w:rsidRPr="00255D92">
        <w:rPr>
          <w:rFonts w:ascii="Arial" w:hAnsi="Arial" w:cs="Arial"/>
          <w:sz w:val="15"/>
          <w:szCs w:val="15"/>
        </w:rPr>
        <w:t>Gibbons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 4. Exames de imagem complementares: a) Radiografia na incidência </w:t>
      </w:r>
      <w:proofErr w:type="spellStart"/>
      <w:r w:rsidRPr="00255D92">
        <w:rPr>
          <w:rFonts w:ascii="Arial" w:hAnsi="Arial" w:cs="Arial"/>
          <w:i/>
          <w:iCs/>
          <w:sz w:val="15"/>
          <w:szCs w:val="15"/>
        </w:rPr>
        <w:t>inlet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 da bacia; b) radiografia na incidência </w:t>
      </w:r>
      <w:r w:rsidRPr="00255D92">
        <w:rPr>
          <w:rFonts w:ascii="Arial" w:hAnsi="Arial" w:cs="Arial"/>
          <w:i/>
          <w:iCs/>
          <w:sz w:val="15"/>
          <w:szCs w:val="15"/>
        </w:rPr>
        <w:t>outlet</w:t>
      </w:r>
      <w:r w:rsidRPr="00255D92">
        <w:rPr>
          <w:rFonts w:ascii="Arial" w:hAnsi="Arial" w:cs="Arial"/>
          <w:sz w:val="15"/>
          <w:szCs w:val="15"/>
        </w:rPr>
        <w:t xml:space="preserve"> da bacia. Notar as radiografias aparentemente inocentes; c) TC reconstrução coronal evidenciando padrão de fratura em “U”, com dois traços verticais e um traço horizontal, conceitualmente constituindo uma dissociação </w:t>
      </w:r>
      <w:proofErr w:type="spellStart"/>
      <w:r w:rsidRPr="00255D92">
        <w:rPr>
          <w:rFonts w:ascii="Arial" w:hAnsi="Arial" w:cs="Arial"/>
          <w:sz w:val="15"/>
          <w:szCs w:val="15"/>
        </w:rPr>
        <w:t>espinopélvica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; d) Reconstrução sagital de TC evidenciando flexão e translação posterior do fragmento proximal com compressão óssea do canal central; e) </w:t>
      </w:r>
      <w:proofErr w:type="spellStart"/>
      <w:r w:rsidRPr="00255D92">
        <w:rPr>
          <w:rFonts w:ascii="Arial" w:hAnsi="Arial" w:cs="Arial"/>
          <w:sz w:val="15"/>
          <w:szCs w:val="15"/>
        </w:rPr>
        <w:t>fluoroscopia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255D92">
        <w:rPr>
          <w:rFonts w:ascii="Arial" w:hAnsi="Arial" w:cs="Arial"/>
          <w:sz w:val="15"/>
          <w:szCs w:val="15"/>
        </w:rPr>
        <w:t>intra-operatória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 com manobra de redução por manipulação direta com </w:t>
      </w:r>
      <w:proofErr w:type="spellStart"/>
      <w:r w:rsidRPr="00255D92">
        <w:rPr>
          <w:rFonts w:ascii="Arial" w:hAnsi="Arial" w:cs="Arial"/>
          <w:sz w:val="15"/>
          <w:szCs w:val="15"/>
        </w:rPr>
        <w:t>osteótomo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; f) radiografia pós-operatória na incidência </w:t>
      </w:r>
      <w:proofErr w:type="spellStart"/>
      <w:r w:rsidRPr="00255D92">
        <w:rPr>
          <w:rFonts w:ascii="Arial" w:hAnsi="Arial" w:cs="Arial"/>
          <w:sz w:val="15"/>
          <w:szCs w:val="15"/>
        </w:rPr>
        <w:t>antero-posterior</w:t>
      </w:r>
      <w:proofErr w:type="spellEnd"/>
      <w:r w:rsidRPr="00255D92">
        <w:rPr>
          <w:rFonts w:ascii="Arial" w:hAnsi="Arial" w:cs="Arial"/>
          <w:sz w:val="15"/>
          <w:szCs w:val="15"/>
        </w:rPr>
        <w:t xml:space="preserve"> (AP); g) radiografia pós-operatória na incidência perfil;  h) TC pós-operatória: reconstrução sagital mostra redução e descompressão satisfatórias. Segmento clínico da paciente mostrou considerável recuperação neurológica.</w:t>
      </w:r>
    </w:p>
    <w:p w14:paraId="51306D23" w14:textId="1C031A9A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4472C4" w:themeColor="accent1"/>
        </w:rPr>
      </w:pPr>
      <w:proofErr w:type="spellStart"/>
      <w:r w:rsidRPr="00255D92">
        <w:rPr>
          <w:rFonts w:ascii="Arial" w:hAnsi="Arial" w:cs="Arial"/>
          <w:color w:val="000000" w:themeColor="text1"/>
        </w:rPr>
        <w:lastRenderedPageBreak/>
        <w:t>Schildhauer</w:t>
      </w:r>
      <w:proofErr w:type="spellEnd"/>
      <w:r w:rsidRPr="00255D92">
        <w:rPr>
          <w:rFonts w:ascii="Arial" w:hAnsi="Arial" w:cs="Arial"/>
          <w:color w:val="000000" w:themeColor="text1"/>
        </w:rPr>
        <w:t xml:space="preserve"> et al., em 1998, descreveu</w:t>
      </w:r>
      <w:r>
        <w:rPr>
          <w:rFonts w:ascii="Arial" w:hAnsi="Arial" w:cs="Arial"/>
          <w:color w:val="000000" w:themeColor="text1"/>
        </w:rPr>
        <w:t xml:space="preserve"> a técnica de OT,</w:t>
      </w:r>
      <w:r w:rsidRPr="00255D92">
        <w:rPr>
          <w:rFonts w:ascii="Arial" w:hAnsi="Arial" w:cs="Arial"/>
          <w:color w:val="000000" w:themeColor="text1"/>
        </w:rPr>
        <w:t xml:space="preserve"> uma variação da fixação </w:t>
      </w:r>
      <w:proofErr w:type="spellStart"/>
      <w:r w:rsidRPr="00255D92">
        <w:rPr>
          <w:rFonts w:ascii="Arial" w:hAnsi="Arial" w:cs="Arial"/>
          <w:color w:val="000000" w:themeColor="text1"/>
        </w:rPr>
        <w:t>espinopélvica</w:t>
      </w:r>
      <w:proofErr w:type="spellEnd"/>
      <w:r w:rsidRPr="00255D9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bilateral tradicional.</w:t>
      </w:r>
      <w:r w:rsidRPr="00255D92">
        <w:rPr>
          <w:rFonts w:ascii="Arial" w:hAnsi="Arial" w:cs="Arial"/>
          <w:color w:val="000000" w:themeColor="text1"/>
        </w:rPr>
        <w:t xml:space="preserve"> Ela consiste na utilização de parafuso pedicular em L4 ou L5 e parafuso de ilíaco associados a um ou dois parafusos </w:t>
      </w:r>
      <w:proofErr w:type="spellStart"/>
      <w:r w:rsidRPr="00255D92">
        <w:rPr>
          <w:rFonts w:ascii="Arial" w:hAnsi="Arial" w:cs="Arial"/>
          <w:color w:val="000000" w:themeColor="text1"/>
        </w:rPr>
        <w:t>iliossacrais</w:t>
      </w:r>
      <w:proofErr w:type="spellEnd"/>
      <w:r w:rsidRPr="00255D92">
        <w:rPr>
          <w:rFonts w:ascii="Arial" w:hAnsi="Arial" w:cs="Arial"/>
          <w:color w:val="000000" w:themeColor="text1"/>
        </w:rPr>
        <w:t>, fornecendo</w:t>
      </w:r>
      <w:r>
        <w:rPr>
          <w:rFonts w:ascii="Arial" w:hAnsi="Arial" w:cs="Arial"/>
          <w:color w:val="000000" w:themeColor="text1"/>
        </w:rPr>
        <w:t xml:space="preserve">, </w:t>
      </w:r>
      <w:r w:rsidRPr="00255D92">
        <w:rPr>
          <w:rFonts w:ascii="Arial" w:hAnsi="Arial" w:cs="Arial"/>
          <w:color w:val="000000" w:themeColor="text1"/>
        </w:rPr>
        <w:t>portanto</w:t>
      </w:r>
      <w:r>
        <w:rPr>
          <w:rFonts w:ascii="Arial" w:hAnsi="Arial" w:cs="Arial"/>
          <w:color w:val="000000" w:themeColor="text1"/>
        </w:rPr>
        <w:t>,</w:t>
      </w:r>
      <w:r w:rsidRPr="00255D92">
        <w:rPr>
          <w:rFonts w:ascii="Arial" w:hAnsi="Arial" w:cs="Arial"/>
          <w:color w:val="000000" w:themeColor="text1"/>
        </w:rPr>
        <w:t xml:space="preserve"> estabilização nos planos vertical e horizontal</w:t>
      </w:r>
      <w:r>
        <w:rPr>
          <w:rFonts w:ascii="Arial" w:hAnsi="Arial" w:cs="Arial"/>
          <w:color w:val="000000" w:themeColor="text1"/>
          <w:vertAlign w:val="superscript"/>
        </w:rPr>
        <w:t>1</w:t>
      </w:r>
      <w:r w:rsidR="00D87F77">
        <w:rPr>
          <w:rFonts w:ascii="Arial" w:hAnsi="Arial" w:cs="Arial"/>
          <w:color w:val="000000" w:themeColor="text1"/>
          <w:vertAlign w:val="superscript"/>
        </w:rPr>
        <w:t>5</w:t>
      </w:r>
      <w:r>
        <w:rPr>
          <w:rFonts w:ascii="Arial" w:hAnsi="Arial" w:cs="Arial"/>
          <w:color w:val="000000" w:themeColor="text1"/>
          <w:vertAlign w:val="superscript"/>
        </w:rPr>
        <w:t>,1</w:t>
      </w:r>
      <w:r w:rsidR="00D87F77">
        <w:rPr>
          <w:rFonts w:ascii="Arial" w:hAnsi="Arial" w:cs="Arial"/>
          <w:color w:val="000000" w:themeColor="text1"/>
          <w:vertAlign w:val="superscript"/>
        </w:rPr>
        <w:t>6</w:t>
      </w:r>
      <w:r w:rsidRPr="00255D92">
        <w:rPr>
          <w:rFonts w:ascii="Arial" w:hAnsi="Arial" w:cs="Arial"/>
          <w:color w:val="000000" w:themeColor="text1"/>
        </w:rPr>
        <w:t xml:space="preserve">. Essa técnica </w:t>
      </w:r>
      <w:r>
        <w:rPr>
          <w:rFonts w:ascii="Arial" w:hAnsi="Arial" w:cs="Arial"/>
          <w:color w:val="000000" w:themeColor="text1"/>
        </w:rPr>
        <w:t>é</w:t>
      </w:r>
      <w:r w:rsidRPr="00255D92">
        <w:rPr>
          <w:rFonts w:ascii="Arial" w:hAnsi="Arial" w:cs="Arial"/>
          <w:color w:val="000000" w:themeColor="text1"/>
        </w:rPr>
        <w:t xml:space="preserve"> indicada </w:t>
      </w:r>
      <w:r>
        <w:rPr>
          <w:rFonts w:ascii="Arial" w:hAnsi="Arial" w:cs="Arial"/>
          <w:color w:val="000000" w:themeColor="text1"/>
        </w:rPr>
        <w:t>para os</w:t>
      </w:r>
      <w:r w:rsidRPr="00255D92">
        <w:rPr>
          <w:rFonts w:ascii="Arial" w:hAnsi="Arial" w:cs="Arial"/>
          <w:color w:val="000000" w:themeColor="text1"/>
        </w:rPr>
        <w:t xml:space="preserve"> casos de luxações sacro-ilíacas, fraturas unilaterais </w:t>
      </w:r>
      <w:proofErr w:type="spellStart"/>
      <w:r w:rsidRPr="00255D92">
        <w:rPr>
          <w:rFonts w:ascii="Arial" w:hAnsi="Arial" w:cs="Arial"/>
          <w:color w:val="000000" w:themeColor="text1"/>
        </w:rPr>
        <w:t>transforaminais</w:t>
      </w:r>
      <w:proofErr w:type="spellEnd"/>
      <w:r w:rsidRPr="00255D92">
        <w:rPr>
          <w:rFonts w:ascii="Arial" w:hAnsi="Arial" w:cs="Arial"/>
          <w:color w:val="000000" w:themeColor="text1"/>
        </w:rPr>
        <w:t xml:space="preserve"> com ascensão vertical que acometem a articulação </w:t>
      </w:r>
      <w:proofErr w:type="spellStart"/>
      <w:r w:rsidRPr="00255D92">
        <w:rPr>
          <w:rFonts w:ascii="Arial" w:hAnsi="Arial" w:cs="Arial"/>
          <w:color w:val="000000" w:themeColor="text1"/>
        </w:rPr>
        <w:t>facetária</w:t>
      </w:r>
      <w:proofErr w:type="spellEnd"/>
      <w:r w:rsidRPr="00255D92">
        <w:rPr>
          <w:rFonts w:ascii="Arial" w:hAnsi="Arial" w:cs="Arial"/>
          <w:color w:val="000000" w:themeColor="text1"/>
        </w:rPr>
        <w:t xml:space="preserve"> L5-S1, fraturas que exigem descompressão </w:t>
      </w:r>
      <w:proofErr w:type="spellStart"/>
      <w:r w:rsidRPr="00255D92">
        <w:rPr>
          <w:rFonts w:ascii="Arial" w:hAnsi="Arial" w:cs="Arial"/>
          <w:color w:val="000000" w:themeColor="text1"/>
        </w:rPr>
        <w:t>foraminal</w:t>
      </w:r>
      <w:proofErr w:type="spellEnd"/>
      <w:r w:rsidRPr="00255D92">
        <w:rPr>
          <w:rFonts w:ascii="Arial" w:hAnsi="Arial" w:cs="Arial"/>
          <w:color w:val="000000" w:themeColor="text1"/>
        </w:rPr>
        <w:t xml:space="preserve"> agressiva com comprometimento da estabilidade óssea e em procedimentos de salvamento após falha das técnicas de estabilização pélvica posterior horizontais</w:t>
      </w:r>
      <w:r w:rsidRPr="00255D92">
        <w:rPr>
          <w:rFonts w:ascii="Arial" w:hAnsi="Arial" w:cs="Arial"/>
          <w:color w:val="000000" w:themeColor="text1"/>
          <w:vertAlign w:val="superscript"/>
        </w:rPr>
        <w:t>1,</w:t>
      </w:r>
      <w:r>
        <w:rPr>
          <w:rFonts w:ascii="Arial" w:hAnsi="Arial" w:cs="Arial"/>
          <w:color w:val="000000" w:themeColor="text1"/>
          <w:vertAlign w:val="superscript"/>
        </w:rPr>
        <w:t>1</w:t>
      </w:r>
      <w:r w:rsidR="00D87F77">
        <w:rPr>
          <w:rFonts w:ascii="Arial" w:hAnsi="Arial" w:cs="Arial"/>
          <w:color w:val="000000" w:themeColor="text1"/>
          <w:vertAlign w:val="superscript"/>
        </w:rPr>
        <w:t>5</w:t>
      </w:r>
      <w:r>
        <w:rPr>
          <w:rFonts w:ascii="Arial" w:hAnsi="Arial" w:cs="Arial"/>
          <w:color w:val="000000" w:themeColor="text1"/>
          <w:vertAlign w:val="superscript"/>
        </w:rPr>
        <w:t>,1</w:t>
      </w:r>
      <w:r w:rsidR="00D87F77">
        <w:rPr>
          <w:rFonts w:ascii="Arial" w:hAnsi="Arial" w:cs="Arial"/>
          <w:color w:val="000000" w:themeColor="text1"/>
          <w:vertAlign w:val="superscript"/>
        </w:rPr>
        <w:t>6</w:t>
      </w:r>
      <w:r w:rsidRPr="00255D92">
        <w:rPr>
          <w:rFonts w:ascii="Arial" w:hAnsi="Arial" w:cs="Arial"/>
          <w:color w:val="000000" w:themeColor="text1"/>
        </w:rPr>
        <w:t xml:space="preserve"> (Figura </w:t>
      </w:r>
      <w:r>
        <w:rPr>
          <w:rFonts w:ascii="Arial" w:hAnsi="Arial" w:cs="Arial"/>
          <w:color w:val="000000" w:themeColor="text1"/>
        </w:rPr>
        <w:t>2</w:t>
      </w:r>
      <w:r w:rsidRPr="00255D92">
        <w:rPr>
          <w:rFonts w:ascii="Arial" w:hAnsi="Arial" w:cs="Arial"/>
          <w:color w:val="000000" w:themeColor="text1"/>
        </w:rPr>
        <w:t xml:space="preserve">). Outra vantagem </w:t>
      </w:r>
      <w:r>
        <w:rPr>
          <w:rFonts w:ascii="Arial" w:hAnsi="Arial" w:cs="Arial"/>
          <w:color w:val="000000" w:themeColor="text1"/>
        </w:rPr>
        <w:t>inerente a essa</w:t>
      </w:r>
      <w:r w:rsidRPr="00255D92">
        <w:rPr>
          <w:rFonts w:ascii="Arial" w:hAnsi="Arial" w:cs="Arial"/>
          <w:color w:val="000000" w:themeColor="text1"/>
        </w:rPr>
        <w:t xml:space="preserve"> técnica é que, assim como a fixação </w:t>
      </w:r>
      <w:proofErr w:type="spellStart"/>
      <w:r w:rsidRPr="00255D92">
        <w:rPr>
          <w:rFonts w:ascii="Arial" w:hAnsi="Arial" w:cs="Arial"/>
          <w:color w:val="000000" w:themeColor="text1"/>
        </w:rPr>
        <w:t>espinopélvica</w:t>
      </w:r>
      <w:proofErr w:type="spellEnd"/>
      <w:r w:rsidRPr="00255D92">
        <w:rPr>
          <w:rFonts w:ascii="Arial" w:hAnsi="Arial" w:cs="Arial"/>
          <w:color w:val="000000" w:themeColor="text1"/>
        </w:rPr>
        <w:t xml:space="preserve"> bilateral, a montagem triangular permite sustentação de carga precoce </w:t>
      </w:r>
      <w:r>
        <w:rPr>
          <w:rFonts w:ascii="Arial" w:hAnsi="Arial" w:cs="Arial"/>
          <w:color w:val="000000" w:themeColor="text1"/>
          <w:vertAlign w:val="superscript"/>
        </w:rPr>
        <w:t>1</w:t>
      </w:r>
      <w:r w:rsidR="00D87F77">
        <w:rPr>
          <w:rFonts w:ascii="Arial" w:hAnsi="Arial" w:cs="Arial"/>
          <w:color w:val="000000" w:themeColor="text1"/>
          <w:vertAlign w:val="superscript"/>
        </w:rPr>
        <w:t>5</w:t>
      </w:r>
      <w:r w:rsidRPr="00255D92">
        <w:rPr>
          <w:rFonts w:ascii="Arial" w:hAnsi="Arial" w:cs="Arial"/>
          <w:color w:val="000000" w:themeColor="text1"/>
          <w:vertAlign w:val="superscript"/>
        </w:rPr>
        <w:t>,</w:t>
      </w:r>
      <w:r>
        <w:rPr>
          <w:rFonts w:ascii="Arial" w:hAnsi="Arial" w:cs="Arial"/>
          <w:color w:val="000000" w:themeColor="text1"/>
          <w:vertAlign w:val="superscript"/>
        </w:rPr>
        <w:t>1</w:t>
      </w:r>
      <w:r w:rsidR="00D87F77">
        <w:rPr>
          <w:rFonts w:ascii="Arial" w:hAnsi="Arial" w:cs="Arial"/>
          <w:color w:val="000000" w:themeColor="text1"/>
          <w:vertAlign w:val="superscript"/>
        </w:rPr>
        <w:t>6</w:t>
      </w:r>
      <w:r w:rsidRPr="00255D92">
        <w:rPr>
          <w:rFonts w:ascii="Arial" w:hAnsi="Arial" w:cs="Arial"/>
          <w:color w:val="000000" w:themeColor="text1"/>
        </w:rPr>
        <w:t>.</w:t>
      </w:r>
      <w:r w:rsidRPr="00A04918">
        <w:rPr>
          <w:rFonts w:ascii="Arial" w:hAnsi="Arial" w:cs="Arial"/>
          <w:color w:val="4472C4" w:themeColor="accent1"/>
        </w:rPr>
        <w:t xml:space="preserve"> </w:t>
      </w:r>
    </w:p>
    <w:p w14:paraId="49D7A74A" w14:textId="77777777" w:rsidR="00923C23" w:rsidRDefault="00923C23" w:rsidP="002E05AE">
      <w:pPr>
        <w:pStyle w:val="NormalWeb"/>
        <w:spacing w:line="480" w:lineRule="auto"/>
        <w:jc w:val="both"/>
        <w:rPr>
          <w:rFonts w:ascii="Arial" w:hAnsi="Arial" w:cs="Arial"/>
          <w:color w:val="4472C4" w:themeColor="accent1"/>
        </w:rPr>
      </w:pPr>
      <w:r w:rsidRPr="00CB4E25">
        <w:rPr>
          <w:rFonts w:ascii="Arial" w:hAnsi="Arial" w:cs="Arial"/>
          <w:noProof/>
        </w:rPr>
        <w:drawing>
          <wp:inline distT="0" distB="0" distL="0" distR="0" wp14:anchorId="1E39CF49" wp14:editId="2AD1EA07">
            <wp:extent cx="5396230" cy="2585720"/>
            <wp:effectExtent l="0" t="0" r="1270" b="5080"/>
            <wp:docPr id="4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97F9" w14:textId="77777777" w:rsidR="00923C23" w:rsidRPr="00966F25" w:rsidRDefault="00923C23" w:rsidP="002E05AE">
      <w:pPr>
        <w:pStyle w:val="NormalWeb"/>
        <w:spacing w:line="480" w:lineRule="auto"/>
        <w:jc w:val="both"/>
        <w:rPr>
          <w:rFonts w:ascii="Arial" w:hAnsi="Arial" w:cs="Arial"/>
          <w:color w:val="4472C4" w:themeColor="accent1"/>
          <w:sz w:val="20"/>
          <w:szCs w:val="20"/>
        </w:rPr>
      </w:pPr>
      <w:r w:rsidRPr="00C55DE1">
        <w:rPr>
          <w:rFonts w:ascii="Arial" w:hAnsi="Arial" w:cs="Arial"/>
          <w:b/>
          <w:bCs/>
          <w:sz w:val="15"/>
          <w:szCs w:val="15"/>
        </w:rPr>
        <w:t>Fig. 2</w:t>
      </w:r>
      <w:r w:rsidRPr="00966F25">
        <w:rPr>
          <w:rFonts w:ascii="Arial" w:hAnsi="Arial" w:cs="Arial"/>
          <w:sz w:val="15"/>
          <w:szCs w:val="15"/>
        </w:rPr>
        <w:t xml:space="preserve">: Paciente do sexo masculino, 30 anos, vítima de queda de 9 metros de altura com 30 dias de evolução. Ao exame neurológico, </w:t>
      </w:r>
      <w:proofErr w:type="spellStart"/>
      <w:r w:rsidRPr="00966F25">
        <w:rPr>
          <w:rFonts w:ascii="Arial" w:hAnsi="Arial" w:cs="Arial"/>
          <w:sz w:val="15"/>
          <w:szCs w:val="15"/>
        </w:rPr>
        <w:t>Gibbons</w:t>
      </w:r>
      <w:proofErr w:type="spellEnd"/>
      <w:r w:rsidRPr="00966F25">
        <w:rPr>
          <w:rFonts w:ascii="Arial" w:hAnsi="Arial" w:cs="Arial"/>
          <w:sz w:val="15"/>
          <w:szCs w:val="15"/>
        </w:rPr>
        <w:t xml:space="preserve"> 1. Exames de imagem: a) Radiografia na incidência AP panorâmico da bacia mostra ascensão vertical da </w:t>
      </w:r>
      <w:proofErr w:type="spellStart"/>
      <w:r w:rsidRPr="00966F25">
        <w:rPr>
          <w:rFonts w:ascii="Arial" w:hAnsi="Arial" w:cs="Arial"/>
          <w:sz w:val="15"/>
          <w:szCs w:val="15"/>
        </w:rPr>
        <w:t>hemipelve</w:t>
      </w:r>
      <w:proofErr w:type="spellEnd"/>
      <w:r w:rsidRPr="00966F25">
        <w:rPr>
          <w:rFonts w:ascii="Arial" w:hAnsi="Arial" w:cs="Arial"/>
          <w:sz w:val="15"/>
          <w:szCs w:val="15"/>
        </w:rPr>
        <w:t xml:space="preserve"> esquerda; b) TC em reconstrução coronal do sacro evidencia fratura </w:t>
      </w:r>
      <w:proofErr w:type="spellStart"/>
      <w:r w:rsidRPr="00966F25">
        <w:rPr>
          <w:rFonts w:ascii="Arial" w:hAnsi="Arial" w:cs="Arial"/>
          <w:sz w:val="15"/>
          <w:szCs w:val="15"/>
        </w:rPr>
        <w:t>transforaminal</w:t>
      </w:r>
      <w:proofErr w:type="spellEnd"/>
      <w:r w:rsidRPr="00966F25">
        <w:rPr>
          <w:rFonts w:ascii="Arial" w:hAnsi="Arial" w:cs="Arial"/>
          <w:sz w:val="15"/>
          <w:szCs w:val="15"/>
        </w:rPr>
        <w:t xml:space="preserve">  com desvio; c-d) TC axial e reconstrução sagital do sacro; e) radiografia pós-operatória na incidência AP panorâmico da bacia: realizada montagem triangular e </w:t>
      </w:r>
      <w:proofErr w:type="spellStart"/>
      <w:r w:rsidRPr="00966F25">
        <w:rPr>
          <w:rFonts w:ascii="Arial" w:hAnsi="Arial" w:cs="Arial"/>
          <w:sz w:val="15"/>
          <w:szCs w:val="15"/>
        </w:rPr>
        <w:t>osteossíntese</w:t>
      </w:r>
      <w:proofErr w:type="spellEnd"/>
      <w:r w:rsidRPr="00966F25">
        <w:rPr>
          <w:rFonts w:ascii="Arial" w:hAnsi="Arial" w:cs="Arial"/>
          <w:sz w:val="15"/>
          <w:szCs w:val="15"/>
        </w:rPr>
        <w:t xml:space="preserve"> da sínfise púbica ; f) radiografia pós-operatória na incidência perfil; g) TC pós-operatória: reconstrução coronal </w:t>
      </w:r>
      <w:r w:rsidRPr="00966F25">
        <w:rPr>
          <w:rFonts w:ascii="Arial" w:hAnsi="Arial" w:cs="Arial"/>
          <w:sz w:val="15"/>
          <w:szCs w:val="15"/>
        </w:rPr>
        <w:lastRenderedPageBreak/>
        <w:t xml:space="preserve">evidenciando redução da ascensão vertical da </w:t>
      </w:r>
      <w:proofErr w:type="spellStart"/>
      <w:r w:rsidRPr="00966F25">
        <w:rPr>
          <w:rFonts w:ascii="Arial" w:hAnsi="Arial" w:cs="Arial"/>
          <w:sz w:val="15"/>
          <w:szCs w:val="15"/>
        </w:rPr>
        <w:t>hemipelve</w:t>
      </w:r>
      <w:proofErr w:type="spellEnd"/>
      <w:r w:rsidRPr="00966F25">
        <w:rPr>
          <w:rFonts w:ascii="Arial" w:hAnsi="Arial" w:cs="Arial"/>
          <w:sz w:val="15"/>
          <w:szCs w:val="15"/>
        </w:rPr>
        <w:t xml:space="preserve"> esquerda;  h) TC axial pós-operatória: posicionamento do parafuso </w:t>
      </w:r>
      <w:proofErr w:type="spellStart"/>
      <w:r w:rsidRPr="00966F25">
        <w:rPr>
          <w:rFonts w:ascii="Arial" w:hAnsi="Arial" w:cs="Arial"/>
          <w:sz w:val="15"/>
          <w:szCs w:val="15"/>
        </w:rPr>
        <w:t>iliossacral</w:t>
      </w:r>
      <w:proofErr w:type="spellEnd"/>
      <w:r w:rsidRPr="00966F25">
        <w:rPr>
          <w:rFonts w:ascii="Arial" w:hAnsi="Arial" w:cs="Arial"/>
          <w:sz w:val="15"/>
          <w:szCs w:val="15"/>
        </w:rPr>
        <w:t>.</w:t>
      </w:r>
    </w:p>
    <w:p w14:paraId="1F216831" w14:textId="6504EE6D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/>
        </w:rPr>
      </w:pPr>
      <w:r w:rsidRPr="0047697D">
        <w:rPr>
          <w:rFonts w:ascii="Arial" w:hAnsi="Arial" w:cs="Arial"/>
          <w:color w:val="000000"/>
        </w:rPr>
        <w:t>A classificação de Denis para as fraturas do sacro, correlaciona a localização anatômica da fratura com o risco de lesão neurológica, diferenciando as lesões em três zonas</w:t>
      </w:r>
      <w:r>
        <w:rPr>
          <w:rFonts w:ascii="Arial" w:hAnsi="Arial" w:cs="Arial"/>
          <w:color w:val="000000"/>
          <w:vertAlign w:val="superscript"/>
        </w:rPr>
        <w:t>17</w:t>
      </w:r>
      <w:r w:rsidRPr="0047697D">
        <w:rPr>
          <w:rFonts w:ascii="Arial" w:hAnsi="Arial" w:cs="Arial"/>
          <w:color w:val="000000"/>
        </w:rPr>
        <w:t xml:space="preserve">. A zona I ou alar situa-se lateralmente, a zona II localiza-se na região </w:t>
      </w:r>
      <w:proofErr w:type="spellStart"/>
      <w:r w:rsidRPr="0047697D">
        <w:rPr>
          <w:rFonts w:ascii="Arial" w:hAnsi="Arial" w:cs="Arial"/>
          <w:color w:val="000000"/>
        </w:rPr>
        <w:t>transforaminal</w:t>
      </w:r>
      <w:proofErr w:type="spellEnd"/>
      <w:r w:rsidRPr="0047697D">
        <w:rPr>
          <w:rFonts w:ascii="Arial" w:hAnsi="Arial" w:cs="Arial"/>
          <w:color w:val="000000"/>
        </w:rPr>
        <w:t xml:space="preserve"> e a zona III possui localização central</w:t>
      </w:r>
      <w:r>
        <w:rPr>
          <w:rFonts w:ascii="Arial" w:hAnsi="Arial" w:cs="Arial"/>
          <w:color w:val="000000"/>
          <w:vertAlign w:val="superscript"/>
        </w:rPr>
        <w:t xml:space="preserve">17 </w:t>
      </w:r>
      <w:r w:rsidRPr="00966F25">
        <w:rPr>
          <w:rFonts w:ascii="Arial" w:hAnsi="Arial" w:cs="Arial"/>
          <w:color w:val="000000"/>
        </w:rPr>
        <w:t xml:space="preserve">(Figura </w:t>
      </w:r>
      <w:r>
        <w:rPr>
          <w:rFonts w:ascii="Arial" w:hAnsi="Arial" w:cs="Arial"/>
          <w:color w:val="000000"/>
        </w:rPr>
        <w:t>3</w:t>
      </w:r>
      <w:r w:rsidRPr="00966F25">
        <w:rPr>
          <w:rFonts w:ascii="Arial" w:hAnsi="Arial" w:cs="Arial"/>
          <w:color w:val="000000"/>
        </w:rPr>
        <w:t>).</w:t>
      </w:r>
      <w:r w:rsidRPr="0047697D">
        <w:rPr>
          <w:rFonts w:ascii="Arial" w:hAnsi="Arial" w:cs="Arial"/>
          <w:color w:val="000000"/>
        </w:rPr>
        <w:t xml:space="preserve"> Essas zonas possuem respectivamente 5,9%, 28,4% e 56,7% de incidência de lesão neurológica</w:t>
      </w:r>
      <w:r>
        <w:rPr>
          <w:rFonts w:ascii="Arial" w:hAnsi="Arial" w:cs="Arial"/>
          <w:color w:val="000000"/>
          <w:vertAlign w:val="superscript"/>
        </w:rPr>
        <w:t>17</w:t>
      </w:r>
      <w:r w:rsidRPr="0047697D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Em nosso estudo analisamos pacientes com fraturas das zonas II e III de Denis que apresentaram respectivamente 33,3% e </w:t>
      </w:r>
      <w:r w:rsidR="0036783D">
        <w:rPr>
          <w:rFonts w:ascii="Arial" w:hAnsi="Arial" w:cs="Arial"/>
          <w:color w:val="000000"/>
        </w:rPr>
        <w:t>100</w:t>
      </w:r>
      <w:r>
        <w:rPr>
          <w:rFonts w:ascii="Arial" w:hAnsi="Arial" w:cs="Arial"/>
          <w:color w:val="000000"/>
        </w:rPr>
        <w:t>% de lesões neurológicas.</w:t>
      </w:r>
    </w:p>
    <w:p w14:paraId="5FA6D7EC" w14:textId="77777777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/>
          <w:sz w:val="15"/>
          <w:szCs w:val="15"/>
        </w:rPr>
      </w:pPr>
      <w:r w:rsidRPr="006F70CE">
        <w:rPr>
          <w:rFonts w:ascii="Arial" w:hAnsi="Arial" w:cs="Arial"/>
          <w:noProof/>
          <w:color w:val="000000"/>
        </w:rPr>
        <w:drawing>
          <wp:inline distT="0" distB="0" distL="0" distR="0" wp14:anchorId="778E2BD1" wp14:editId="2433E657">
            <wp:extent cx="1163253" cy="1149350"/>
            <wp:effectExtent l="0" t="0" r="5715" b="0"/>
            <wp:docPr id="1" name="Imagem 1" descr="Foto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Foto em preto e branc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4288" cy="116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CE">
        <w:rPr>
          <w:rFonts w:ascii="Arial" w:hAnsi="Arial" w:cs="Arial"/>
          <w:color w:val="000000"/>
          <w:sz w:val="20"/>
          <w:szCs w:val="20"/>
        </w:rPr>
        <w:t xml:space="preserve"> </w:t>
      </w:r>
      <w:r w:rsidRPr="006F70CE">
        <w:rPr>
          <w:rFonts w:ascii="Arial" w:hAnsi="Arial" w:cs="Arial"/>
          <w:color w:val="000000"/>
          <w:sz w:val="15"/>
          <w:szCs w:val="15"/>
        </w:rPr>
        <w:t>Fig.4: Classificação de Denis para fraturas do sacro</w:t>
      </w:r>
    </w:p>
    <w:p w14:paraId="1EB65473" w14:textId="77777777" w:rsidR="00923C23" w:rsidRPr="006F70CE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/>
          <w:sz w:val="15"/>
          <w:szCs w:val="15"/>
        </w:rPr>
      </w:pPr>
    </w:p>
    <w:p w14:paraId="53D27FD7" w14:textId="081AC64E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Nos pacientes com lesões da coluna cervical, torácica ou lombar a função motora e sensitiva das extremidades é classificada de acordo com a escala desenvolvida pela American </w:t>
      </w:r>
      <w:proofErr w:type="spellStart"/>
      <w:r>
        <w:rPr>
          <w:rFonts w:ascii="Arial" w:hAnsi="Arial" w:cs="Arial"/>
        </w:rPr>
        <w:t>Spinal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Injury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Association</w:t>
      </w:r>
      <w:proofErr w:type="spellEnd"/>
      <w:r>
        <w:rPr>
          <w:rFonts w:ascii="Arial" w:hAnsi="Arial" w:cs="Arial"/>
        </w:rPr>
        <w:t xml:space="preserve"> (ASIA), </w:t>
      </w:r>
      <w:r w:rsidRPr="006F70CE">
        <w:rPr>
          <w:rFonts w:ascii="Arial" w:hAnsi="Arial" w:cs="Arial"/>
          <w:color w:val="000000" w:themeColor="text1"/>
        </w:rPr>
        <w:t xml:space="preserve">porém em pacientes com fraturas do sacro a avaliação do nível da lesão neurológica pelo exame motor fica limitada </w:t>
      </w:r>
      <w:proofErr w:type="spellStart"/>
      <w:r w:rsidRPr="006F70CE">
        <w:rPr>
          <w:rFonts w:ascii="Arial" w:hAnsi="Arial" w:cs="Arial"/>
          <w:color w:val="000000" w:themeColor="text1"/>
        </w:rPr>
        <w:t>caudalmente</w:t>
      </w:r>
      <w:proofErr w:type="spellEnd"/>
      <w:r w:rsidRPr="006F70CE">
        <w:rPr>
          <w:rFonts w:ascii="Arial" w:hAnsi="Arial" w:cs="Arial"/>
          <w:color w:val="000000" w:themeColor="text1"/>
        </w:rPr>
        <w:t xml:space="preserve"> aos níveis de L5 e S1</w:t>
      </w:r>
      <w:r w:rsidRPr="006F70CE">
        <w:rPr>
          <w:rFonts w:ascii="Arial" w:hAnsi="Arial" w:cs="Arial"/>
          <w:color w:val="000000" w:themeColor="text1"/>
          <w:vertAlign w:val="superscript"/>
        </w:rPr>
        <w:t>1</w:t>
      </w:r>
      <w:r>
        <w:rPr>
          <w:rFonts w:ascii="Arial" w:hAnsi="Arial" w:cs="Arial"/>
          <w:color w:val="000000" w:themeColor="text1"/>
          <w:vertAlign w:val="superscript"/>
        </w:rPr>
        <w:t>8,19</w:t>
      </w:r>
      <w:r w:rsidRPr="006F70CE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</w:rPr>
        <w:t xml:space="preserve">Nesse contexto, </w:t>
      </w:r>
      <w:proofErr w:type="spellStart"/>
      <w:r>
        <w:rPr>
          <w:rFonts w:ascii="Arial" w:hAnsi="Arial" w:cs="Arial"/>
        </w:rPr>
        <w:t>Gibbons</w:t>
      </w:r>
      <w:proofErr w:type="spellEnd"/>
      <w:r>
        <w:rPr>
          <w:rFonts w:ascii="Arial" w:hAnsi="Arial" w:cs="Arial"/>
        </w:rPr>
        <w:t xml:space="preserve"> </w:t>
      </w:r>
      <w:r w:rsidRPr="0047697D">
        <w:rPr>
          <w:rFonts w:ascii="Arial" w:hAnsi="Arial" w:cs="Arial"/>
        </w:rPr>
        <w:t>e colaboradores classificaram os pacientes diagnosticados com fraturas de sacro de acordo com seu status neurológico</w:t>
      </w:r>
      <w:r>
        <w:rPr>
          <w:rFonts w:ascii="Arial" w:hAnsi="Arial" w:cs="Arial"/>
        </w:rPr>
        <w:t xml:space="preserve"> </w:t>
      </w:r>
      <w:r w:rsidR="009403B4">
        <w:rPr>
          <w:rFonts w:ascii="Arial" w:hAnsi="Arial" w:cs="Arial"/>
        </w:rPr>
        <w:t xml:space="preserve">avaliando a presença de </w:t>
      </w:r>
      <w:proofErr w:type="spellStart"/>
      <w:r w:rsidR="009403B4">
        <w:rPr>
          <w:rFonts w:ascii="Arial" w:hAnsi="Arial" w:cs="Arial"/>
        </w:rPr>
        <w:t>parestesias</w:t>
      </w:r>
      <w:proofErr w:type="spellEnd"/>
      <w:r w:rsidR="009403B4">
        <w:rPr>
          <w:rFonts w:ascii="Arial" w:hAnsi="Arial" w:cs="Arial"/>
        </w:rPr>
        <w:t xml:space="preserve">, paresias e o comprometimento </w:t>
      </w:r>
      <w:r w:rsidR="009403B4" w:rsidRPr="009403B4">
        <w:rPr>
          <w:rFonts w:ascii="Arial" w:hAnsi="Arial" w:cs="Arial"/>
        </w:rPr>
        <w:t>esfincteriano</w:t>
      </w:r>
      <w:r w:rsidRPr="009403B4">
        <w:rPr>
          <w:rFonts w:ascii="Arial" w:hAnsi="Arial" w:cs="Arial"/>
          <w:vertAlign w:val="superscript"/>
        </w:rPr>
        <w:t>19</w:t>
      </w:r>
      <w:r w:rsidRPr="009403B4">
        <w:rPr>
          <w:rFonts w:ascii="Arial" w:hAnsi="Arial" w:cs="Arial"/>
        </w:rPr>
        <w:t>.</w:t>
      </w:r>
      <w:r w:rsidR="00661D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presente estudo, foram analisados casos de </w:t>
      </w:r>
      <w:r w:rsidR="0036783D">
        <w:rPr>
          <w:rFonts w:ascii="Arial" w:hAnsi="Arial" w:cs="Arial"/>
        </w:rPr>
        <w:t>lesões</w:t>
      </w:r>
      <w:r>
        <w:rPr>
          <w:rFonts w:ascii="Arial" w:hAnsi="Arial" w:cs="Arial"/>
        </w:rPr>
        <w:t xml:space="preserve"> complexas com instabilidade </w:t>
      </w:r>
      <w:proofErr w:type="spellStart"/>
      <w:r>
        <w:rPr>
          <w:rFonts w:ascii="Arial" w:hAnsi="Arial" w:cs="Arial"/>
        </w:rPr>
        <w:lastRenderedPageBreak/>
        <w:t>espinopélvica</w:t>
      </w:r>
      <w:proofErr w:type="spellEnd"/>
      <w:r>
        <w:rPr>
          <w:rFonts w:ascii="Arial" w:hAnsi="Arial" w:cs="Arial"/>
        </w:rPr>
        <w:t xml:space="preserve"> e, portanto, esperava-se encontrar elevada incidência de pacientes com déficits neurológicos</w:t>
      </w:r>
      <w:r>
        <w:rPr>
          <w:rFonts w:ascii="Arial" w:hAnsi="Arial" w:cs="Arial"/>
          <w:vertAlign w:val="superscript"/>
        </w:rPr>
        <w:t>20</w:t>
      </w:r>
      <w:r w:rsidR="00D87F77">
        <w:rPr>
          <w:rFonts w:ascii="Arial" w:hAnsi="Arial" w:cs="Arial"/>
          <w:vertAlign w:val="superscript"/>
        </w:rPr>
        <w:t>,21</w:t>
      </w:r>
      <w:r>
        <w:rPr>
          <w:rFonts w:ascii="Arial" w:hAnsi="Arial" w:cs="Arial"/>
        </w:rPr>
        <w:t xml:space="preserve">. Indo de encontro às expectativas, </w:t>
      </w:r>
      <w:r w:rsidR="0036783D">
        <w:rPr>
          <w:rFonts w:ascii="Arial" w:hAnsi="Arial" w:cs="Arial"/>
        </w:rPr>
        <w:t>50</w:t>
      </w:r>
      <w:r>
        <w:rPr>
          <w:rFonts w:ascii="Arial" w:hAnsi="Arial" w:cs="Arial"/>
        </w:rPr>
        <w:t>% (n=</w:t>
      </w:r>
      <w:r w:rsidR="0036783D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) da amostra apresentou déficit neurológico pós trauma, </w:t>
      </w:r>
      <w:r w:rsidR="00550AEA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(</w:t>
      </w:r>
      <w:r w:rsidR="00550AEA">
        <w:rPr>
          <w:rFonts w:ascii="Arial" w:hAnsi="Arial" w:cs="Arial"/>
        </w:rPr>
        <w:t>6,2</w:t>
      </w:r>
      <w:r>
        <w:rPr>
          <w:rFonts w:ascii="Arial" w:hAnsi="Arial" w:cs="Arial"/>
        </w:rPr>
        <w:t xml:space="preserve">%) caso classificado como </w:t>
      </w:r>
      <w:proofErr w:type="spellStart"/>
      <w:r>
        <w:rPr>
          <w:rFonts w:ascii="Arial" w:hAnsi="Arial" w:cs="Arial"/>
        </w:rPr>
        <w:t>Gibbons</w:t>
      </w:r>
      <w:proofErr w:type="spellEnd"/>
      <w:r>
        <w:rPr>
          <w:rFonts w:ascii="Arial" w:hAnsi="Arial" w:cs="Arial"/>
        </w:rPr>
        <w:t xml:space="preserve"> 2, 2 (</w:t>
      </w:r>
      <w:r w:rsidR="00550AEA">
        <w:rPr>
          <w:rFonts w:ascii="Arial" w:hAnsi="Arial" w:cs="Arial"/>
        </w:rPr>
        <w:t>12,5</w:t>
      </w:r>
      <w:r>
        <w:rPr>
          <w:rFonts w:ascii="Arial" w:hAnsi="Arial" w:cs="Arial"/>
        </w:rPr>
        <w:t xml:space="preserve">%) como </w:t>
      </w:r>
      <w:proofErr w:type="spellStart"/>
      <w:r>
        <w:rPr>
          <w:rFonts w:ascii="Arial" w:hAnsi="Arial" w:cs="Arial"/>
        </w:rPr>
        <w:t>Gibbons</w:t>
      </w:r>
      <w:proofErr w:type="spellEnd"/>
      <w:r>
        <w:rPr>
          <w:rFonts w:ascii="Arial" w:hAnsi="Arial" w:cs="Arial"/>
        </w:rPr>
        <w:t xml:space="preserve"> 3 e </w:t>
      </w:r>
      <w:r w:rsidR="00550AE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(</w:t>
      </w:r>
      <w:r w:rsidR="00550AEA">
        <w:rPr>
          <w:rFonts w:ascii="Arial" w:hAnsi="Arial" w:cs="Arial"/>
        </w:rPr>
        <w:t>31,3</w:t>
      </w:r>
      <w:r>
        <w:rPr>
          <w:rFonts w:ascii="Arial" w:hAnsi="Arial" w:cs="Arial"/>
        </w:rPr>
        <w:t xml:space="preserve">%) como </w:t>
      </w:r>
      <w:proofErr w:type="spellStart"/>
      <w:r>
        <w:rPr>
          <w:rFonts w:ascii="Arial" w:hAnsi="Arial" w:cs="Arial"/>
        </w:rPr>
        <w:t>Gibbons</w:t>
      </w:r>
      <w:proofErr w:type="spellEnd"/>
      <w:r>
        <w:rPr>
          <w:rFonts w:ascii="Arial" w:hAnsi="Arial" w:cs="Arial"/>
        </w:rPr>
        <w:t xml:space="preserve"> 4. </w:t>
      </w:r>
    </w:p>
    <w:p w14:paraId="4D7F408F" w14:textId="7F9D6336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pacientes que apresentavam comprometimento neurológico pré-operatório foram submetidos à </w:t>
      </w:r>
      <w:proofErr w:type="spellStart"/>
      <w:r>
        <w:rPr>
          <w:rFonts w:ascii="Arial" w:hAnsi="Arial" w:cs="Arial"/>
        </w:rPr>
        <w:t>laminectomias</w:t>
      </w:r>
      <w:proofErr w:type="spellEnd"/>
      <w:r w:rsidR="00D87F77">
        <w:rPr>
          <w:rFonts w:ascii="Arial" w:hAnsi="Arial" w:cs="Arial"/>
        </w:rPr>
        <w:t xml:space="preserve">, </w:t>
      </w:r>
      <w:proofErr w:type="spellStart"/>
      <w:r w:rsidR="00D87F77">
        <w:rPr>
          <w:rFonts w:ascii="Arial" w:hAnsi="Arial" w:cs="Arial"/>
        </w:rPr>
        <w:t>foraminoplastias</w:t>
      </w:r>
      <w:proofErr w:type="spellEnd"/>
      <w:r>
        <w:rPr>
          <w:rFonts w:ascii="Arial" w:hAnsi="Arial" w:cs="Arial"/>
        </w:rPr>
        <w:t xml:space="preserve"> </w:t>
      </w:r>
      <w:r w:rsidR="00301D1D">
        <w:rPr>
          <w:rFonts w:ascii="Arial" w:hAnsi="Arial" w:cs="Arial"/>
        </w:rPr>
        <w:t>e retirada de fragmentos ósseos que comprimiam o canal (descompressão direta),</w:t>
      </w:r>
      <w:r w:rsidR="00661D7C">
        <w:rPr>
          <w:rFonts w:ascii="Arial" w:hAnsi="Arial" w:cs="Arial"/>
        </w:rPr>
        <w:t xml:space="preserve"> </w:t>
      </w:r>
      <w:r w:rsidR="00301D1D">
        <w:rPr>
          <w:rFonts w:ascii="Arial" w:hAnsi="Arial" w:cs="Arial"/>
        </w:rPr>
        <w:t>bem como</w:t>
      </w:r>
      <w:r>
        <w:rPr>
          <w:rFonts w:ascii="Arial" w:hAnsi="Arial" w:cs="Arial"/>
        </w:rPr>
        <w:t xml:space="preserve"> osteotomias para realinhamento das fraturas sacrais</w:t>
      </w:r>
      <w:r w:rsidR="00301D1D">
        <w:rPr>
          <w:rFonts w:ascii="Arial" w:hAnsi="Arial" w:cs="Arial"/>
        </w:rPr>
        <w:t xml:space="preserve"> (descompressão indireta)</w:t>
      </w:r>
      <w:r>
        <w:rPr>
          <w:rFonts w:ascii="Arial" w:hAnsi="Arial" w:cs="Arial"/>
        </w:rPr>
        <w:t>. Isso fez com que 7</w:t>
      </w:r>
      <w:r w:rsidR="00550AE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% dos pacientes evoluíssem com melhora do quadro neurológico, sendo </w:t>
      </w:r>
      <w:r w:rsidR="00550AEA">
        <w:rPr>
          <w:rFonts w:ascii="Arial" w:hAnsi="Arial" w:cs="Arial"/>
        </w:rPr>
        <w:t>50</w:t>
      </w:r>
      <w:r>
        <w:rPr>
          <w:rFonts w:ascii="Arial" w:hAnsi="Arial" w:cs="Arial"/>
        </w:rPr>
        <w:t xml:space="preserve">% com melhora completa e </w:t>
      </w:r>
      <w:r w:rsidR="00550AEA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% com melhora parcial dos sintomas. Números que se assemelham aos descritos por </w:t>
      </w:r>
      <w:proofErr w:type="spellStart"/>
      <w:r>
        <w:rPr>
          <w:rFonts w:ascii="Arial" w:hAnsi="Arial" w:cs="Arial"/>
        </w:rPr>
        <w:t>König</w:t>
      </w:r>
      <w:proofErr w:type="spellEnd"/>
      <w:r>
        <w:rPr>
          <w:rFonts w:ascii="Arial" w:hAnsi="Arial" w:cs="Arial"/>
        </w:rPr>
        <w:t xml:space="preserve"> et al., em 2012, apresentando uma série de 43 casos em que 46,5% evoluíram com melhora neurológica completa</w:t>
      </w:r>
      <w:r w:rsidR="00D87F77"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. </w:t>
      </w:r>
    </w:p>
    <w:p w14:paraId="6AF20685" w14:textId="2137A257" w:rsidR="00301D1D" w:rsidRPr="00661D7C" w:rsidRDefault="00301D1D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strike/>
          <w:color w:val="FF0000"/>
        </w:rPr>
      </w:pPr>
      <w:r>
        <w:rPr>
          <w:rFonts w:ascii="Arial" w:hAnsi="Arial" w:cs="Arial"/>
        </w:rPr>
        <w:t xml:space="preserve">Pela falta de estudos controlados </w:t>
      </w:r>
      <w:r w:rsidR="00816431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com elevado </w:t>
      </w:r>
      <w:r w:rsidR="00661D7C">
        <w:rPr>
          <w:rFonts w:ascii="Arial" w:hAnsi="Arial" w:cs="Arial"/>
        </w:rPr>
        <w:t xml:space="preserve">número </w:t>
      </w:r>
      <w:r>
        <w:rPr>
          <w:rFonts w:ascii="Arial" w:hAnsi="Arial" w:cs="Arial"/>
        </w:rPr>
        <w:t>amostral, ainda não é comprovado que a descompressão cirúrgica se relacione com a melhora do quadro neurológico</w:t>
      </w:r>
      <w:r w:rsidR="00D87F77">
        <w:rPr>
          <w:rFonts w:ascii="Arial" w:hAnsi="Arial" w:cs="Arial"/>
        </w:rPr>
        <w:t>, no contexto das fraturas complexas do sacro</w:t>
      </w:r>
      <w:r>
        <w:rPr>
          <w:rFonts w:ascii="Arial" w:hAnsi="Arial" w:cs="Arial"/>
        </w:rPr>
        <w:t xml:space="preserve">. </w:t>
      </w:r>
      <w:r w:rsidR="00816431">
        <w:rPr>
          <w:rFonts w:ascii="Arial" w:hAnsi="Arial" w:cs="Arial"/>
        </w:rPr>
        <w:t>Para exemplificar, o comprometimento neurológico pode acontecer por neuropraxias que frequentemente melhoram independe do tratamento cirúrgico ou pode acontecer por uma avulsão radicular e, dessa forma, não apresentar melhora apesar da cirurgia descompressiva</w:t>
      </w:r>
      <w:r w:rsidR="00091964">
        <w:rPr>
          <w:rFonts w:ascii="Arial" w:hAnsi="Arial" w:cs="Arial"/>
          <w:vertAlign w:val="superscript"/>
        </w:rPr>
        <w:t>1</w:t>
      </w:r>
      <w:r w:rsidR="00816431">
        <w:rPr>
          <w:rFonts w:ascii="Arial" w:hAnsi="Arial" w:cs="Arial"/>
        </w:rPr>
        <w:t>.</w:t>
      </w:r>
      <w:r w:rsidR="00091964">
        <w:rPr>
          <w:rFonts w:ascii="Arial" w:hAnsi="Arial" w:cs="Arial"/>
        </w:rPr>
        <w:t xml:space="preserve"> Porém,</w:t>
      </w:r>
      <w:r w:rsidR="00816431">
        <w:rPr>
          <w:rFonts w:ascii="Arial" w:hAnsi="Arial" w:cs="Arial"/>
        </w:rPr>
        <w:t xml:space="preserve"> </w:t>
      </w:r>
      <w:r w:rsidR="00D87F77">
        <w:rPr>
          <w:rFonts w:ascii="Arial" w:hAnsi="Arial" w:cs="Arial"/>
        </w:rPr>
        <w:t xml:space="preserve">o </w:t>
      </w:r>
      <w:r w:rsidR="00816431">
        <w:rPr>
          <w:rFonts w:ascii="Arial" w:hAnsi="Arial" w:cs="Arial"/>
        </w:rPr>
        <w:t>presente estudo analis</w:t>
      </w:r>
      <w:r w:rsidR="00D87F77">
        <w:rPr>
          <w:rFonts w:ascii="Arial" w:hAnsi="Arial" w:cs="Arial"/>
        </w:rPr>
        <w:t>ou</w:t>
      </w:r>
      <w:r w:rsidR="00816431">
        <w:rPr>
          <w:rFonts w:ascii="Arial" w:hAnsi="Arial" w:cs="Arial"/>
        </w:rPr>
        <w:t xml:space="preserve"> apenas fraturas envelhecidas e o fato de 75% dos pacientes com alterações neurológicas terem permanecido</w:t>
      </w:r>
      <w:r w:rsidR="00091964">
        <w:rPr>
          <w:rFonts w:ascii="Arial" w:hAnsi="Arial" w:cs="Arial"/>
        </w:rPr>
        <w:t xml:space="preserve"> comprometidos por</w:t>
      </w:r>
      <w:r w:rsidR="00816431">
        <w:rPr>
          <w:rFonts w:ascii="Arial" w:hAnsi="Arial" w:cs="Arial"/>
        </w:rPr>
        <w:t xml:space="preserve"> pelo menos três semanas</w:t>
      </w:r>
      <w:r w:rsidR="00091964">
        <w:rPr>
          <w:rFonts w:ascii="Arial" w:hAnsi="Arial" w:cs="Arial"/>
        </w:rPr>
        <w:t>,</w:t>
      </w:r>
      <w:r w:rsidR="00816431">
        <w:rPr>
          <w:rFonts w:ascii="Arial" w:hAnsi="Arial" w:cs="Arial"/>
        </w:rPr>
        <w:t xml:space="preserve"> </w:t>
      </w:r>
      <w:r w:rsidR="00816431">
        <w:rPr>
          <w:rFonts w:ascii="Arial" w:hAnsi="Arial" w:cs="Arial"/>
        </w:rPr>
        <w:lastRenderedPageBreak/>
        <w:t>só melhora</w:t>
      </w:r>
      <w:r w:rsidR="00091964">
        <w:rPr>
          <w:rFonts w:ascii="Arial" w:hAnsi="Arial" w:cs="Arial"/>
        </w:rPr>
        <w:t>ndo</w:t>
      </w:r>
      <w:r w:rsidR="00816431">
        <w:rPr>
          <w:rFonts w:ascii="Arial" w:hAnsi="Arial" w:cs="Arial"/>
        </w:rPr>
        <w:t xml:space="preserve"> após a descompressão </w:t>
      </w:r>
      <w:r w:rsidR="00816431" w:rsidRPr="00876F46">
        <w:rPr>
          <w:rFonts w:ascii="Arial" w:hAnsi="Arial" w:cs="Arial"/>
          <w:color w:val="000000" w:themeColor="text1"/>
        </w:rPr>
        <w:t xml:space="preserve">cirúrgica </w:t>
      </w:r>
      <w:r w:rsidR="00661D7C" w:rsidRPr="00876F46">
        <w:rPr>
          <w:rFonts w:ascii="Arial" w:hAnsi="Arial" w:cs="Arial"/>
          <w:color w:val="000000" w:themeColor="text1"/>
        </w:rPr>
        <w:t xml:space="preserve">sugere que o tratamento cirúrgico está associado a benefícios aos pacientes. </w:t>
      </w:r>
    </w:p>
    <w:p w14:paraId="25DC858B" w14:textId="12E8DBF1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As fraturas sacrais apresentam 96,4% de lesões associadas e a coexistência de lesões do anel pélvico anterior é associação mais comum, com representação de 44,4%</w:t>
      </w:r>
      <w:r w:rsidR="00D87F77">
        <w:rPr>
          <w:rFonts w:ascii="Arial" w:hAnsi="Arial" w:cs="Arial"/>
          <w:color w:val="000000" w:themeColor="text1"/>
          <w:vertAlign w:val="superscript"/>
        </w:rPr>
        <w:t>8</w:t>
      </w:r>
      <w:r>
        <w:rPr>
          <w:rFonts w:ascii="Arial" w:hAnsi="Arial" w:cs="Arial"/>
          <w:color w:val="000000" w:themeColor="text1"/>
        </w:rPr>
        <w:t>. A indicação de abordagem cirúrgica da lesão anterior deve ser individualizada e</w:t>
      </w:r>
      <w:r w:rsidR="00661D7C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caso seja optado pelo tratamento cirúrgico</w:t>
      </w:r>
      <w:r w:rsidR="00661D7C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sua redução e estabilização deve ser feita antes do tempo posterior, </w:t>
      </w:r>
      <w:r w:rsidRPr="009E5E56">
        <w:rPr>
          <w:rFonts w:ascii="Arial" w:hAnsi="Arial" w:cs="Arial"/>
          <w:color w:val="000000" w:themeColor="text1"/>
        </w:rPr>
        <w:t xml:space="preserve">uma vez que a rigidez da fixação </w:t>
      </w:r>
      <w:proofErr w:type="spellStart"/>
      <w:r w:rsidRPr="009E5E56">
        <w:rPr>
          <w:rFonts w:ascii="Arial" w:hAnsi="Arial" w:cs="Arial"/>
          <w:color w:val="000000" w:themeColor="text1"/>
        </w:rPr>
        <w:t>espinopélvica</w:t>
      </w:r>
      <w:proofErr w:type="spellEnd"/>
      <w:r w:rsidRPr="009E5E56">
        <w:rPr>
          <w:rFonts w:ascii="Arial" w:hAnsi="Arial" w:cs="Arial"/>
          <w:color w:val="000000" w:themeColor="text1"/>
        </w:rPr>
        <w:t xml:space="preserve"> impede uma boa redução da lesão anterior</w:t>
      </w:r>
      <w:r>
        <w:rPr>
          <w:rFonts w:ascii="Arial" w:hAnsi="Arial" w:cs="Arial"/>
          <w:color w:val="000000" w:themeColor="text1"/>
        </w:rPr>
        <w:t xml:space="preserve"> </w:t>
      </w:r>
      <w:r w:rsidRPr="00B43D98">
        <w:rPr>
          <w:rFonts w:ascii="Arial" w:hAnsi="Arial" w:cs="Arial"/>
          <w:color w:val="000000" w:themeColor="text1"/>
          <w:vertAlign w:val="superscript"/>
        </w:rPr>
        <w:t>1</w:t>
      </w:r>
      <w:r w:rsidR="00D87F77">
        <w:rPr>
          <w:rFonts w:ascii="Arial" w:hAnsi="Arial" w:cs="Arial"/>
          <w:color w:val="000000" w:themeColor="text1"/>
          <w:vertAlign w:val="superscript"/>
        </w:rPr>
        <w:t>,21</w:t>
      </w:r>
      <w:r w:rsidRPr="009E5E56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 xml:space="preserve">Além disso, foi </w:t>
      </w:r>
      <w:r w:rsidRPr="009E5E56">
        <w:rPr>
          <w:rFonts w:ascii="Arial" w:hAnsi="Arial" w:cs="Arial"/>
          <w:color w:val="000000" w:themeColor="text1"/>
        </w:rPr>
        <w:t xml:space="preserve">demonstrado que a fixação inicial do anel pélvico anterior facilita a redução da lesão pélvica </w:t>
      </w:r>
      <w:r w:rsidRPr="00D87F77">
        <w:rPr>
          <w:rFonts w:ascii="Arial" w:hAnsi="Arial" w:cs="Arial"/>
          <w:color w:val="000000" w:themeColor="text1"/>
        </w:rPr>
        <w:t>posterior</w:t>
      </w:r>
      <w:r w:rsidR="00D87F77">
        <w:rPr>
          <w:rFonts w:ascii="Arial" w:hAnsi="Arial" w:cs="Arial"/>
          <w:color w:val="000000" w:themeColor="text1"/>
          <w:vertAlign w:val="superscript"/>
        </w:rPr>
        <w:t>1,</w:t>
      </w:r>
      <w:r w:rsidRPr="00D87F77">
        <w:rPr>
          <w:rFonts w:ascii="Arial" w:hAnsi="Arial" w:cs="Arial"/>
          <w:color w:val="000000" w:themeColor="text1"/>
          <w:vertAlign w:val="superscript"/>
        </w:rPr>
        <w:t>2</w:t>
      </w:r>
      <w:r w:rsidR="00D87F77" w:rsidRPr="00D87F77">
        <w:rPr>
          <w:rFonts w:ascii="Arial" w:hAnsi="Arial" w:cs="Arial"/>
          <w:color w:val="000000" w:themeColor="text1"/>
          <w:vertAlign w:val="superscript"/>
        </w:rPr>
        <w:t>1</w:t>
      </w:r>
      <w:r>
        <w:rPr>
          <w:rFonts w:ascii="Arial" w:hAnsi="Arial" w:cs="Arial"/>
          <w:color w:val="000000" w:themeColor="text1"/>
        </w:rPr>
        <w:t>. Nesta série de casos foi encontrada uma associação de 7</w:t>
      </w:r>
      <w:r w:rsidR="0009196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>% entre as fraturas complexas do sacro e as lesões no anel pélvico anterior que foram tratadas individualmente, levando-se em conta suas particularidades.</w:t>
      </w:r>
      <w:r w:rsidR="003C2262">
        <w:rPr>
          <w:rFonts w:ascii="Arial" w:hAnsi="Arial" w:cs="Arial"/>
          <w:color w:val="000000" w:themeColor="text1"/>
        </w:rPr>
        <w:t xml:space="preserve"> </w:t>
      </w:r>
      <w:r w:rsidR="00EF46FB">
        <w:rPr>
          <w:rFonts w:ascii="Arial" w:hAnsi="Arial" w:cs="Arial"/>
          <w:color w:val="000000" w:themeColor="text1"/>
        </w:rPr>
        <w:t>Em</w:t>
      </w:r>
      <w:r>
        <w:rPr>
          <w:rFonts w:ascii="Arial" w:hAnsi="Arial" w:cs="Arial"/>
          <w:color w:val="000000" w:themeColor="text1"/>
        </w:rPr>
        <w:t xml:space="preserve"> </w:t>
      </w:r>
      <w:r w:rsidR="00661D7C">
        <w:rPr>
          <w:rFonts w:ascii="Arial" w:hAnsi="Arial" w:cs="Arial"/>
          <w:color w:val="000000" w:themeColor="text1"/>
        </w:rPr>
        <w:t>um</w:t>
      </w:r>
      <w:r>
        <w:rPr>
          <w:rFonts w:ascii="Arial" w:hAnsi="Arial" w:cs="Arial"/>
          <w:color w:val="000000" w:themeColor="text1"/>
        </w:rPr>
        <w:t xml:space="preserve"> caso fo</w:t>
      </w:r>
      <w:r w:rsidR="007C6C75">
        <w:rPr>
          <w:rFonts w:ascii="Arial" w:hAnsi="Arial" w:cs="Arial"/>
          <w:color w:val="000000" w:themeColor="text1"/>
        </w:rPr>
        <w:t>ram</w:t>
      </w:r>
      <w:r>
        <w:rPr>
          <w:rFonts w:ascii="Arial" w:hAnsi="Arial" w:cs="Arial"/>
          <w:color w:val="000000" w:themeColor="text1"/>
        </w:rPr>
        <w:t xml:space="preserve"> necessári</w:t>
      </w:r>
      <w:r w:rsidR="007C6C75">
        <w:rPr>
          <w:rFonts w:ascii="Arial" w:hAnsi="Arial" w:cs="Arial"/>
          <w:color w:val="000000" w:themeColor="text1"/>
        </w:rPr>
        <w:t>as</w:t>
      </w:r>
      <w:r>
        <w:rPr>
          <w:rFonts w:ascii="Arial" w:hAnsi="Arial" w:cs="Arial"/>
          <w:color w:val="000000" w:themeColor="text1"/>
        </w:rPr>
        <w:t xml:space="preserve"> </w:t>
      </w:r>
      <w:r w:rsidR="00661D7C">
        <w:rPr>
          <w:rFonts w:ascii="Arial" w:hAnsi="Arial" w:cs="Arial"/>
          <w:color w:val="000000" w:themeColor="text1"/>
        </w:rPr>
        <w:t>três</w:t>
      </w:r>
      <w:r>
        <w:rPr>
          <w:rFonts w:ascii="Arial" w:hAnsi="Arial" w:cs="Arial"/>
          <w:color w:val="000000" w:themeColor="text1"/>
        </w:rPr>
        <w:t xml:space="preserve"> abordagens</w:t>
      </w:r>
      <w:r w:rsidR="003C2262">
        <w:rPr>
          <w:rFonts w:ascii="Arial" w:hAnsi="Arial" w:cs="Arial"/>
          <w:color w:val="000000" w:themeColor="text1"/>
        </w:rPr>
        <w:t xml:space="preserve"> cirúrgicas realizadas no mesmo dia. No</w:t>
      </w:r>
      <w:r>
        <w:rPr>
          <w:rFonts w:ascii="Arial" w:hAnsi="Arial" w:cs="Arial"/>
          <w:color w:val="000000" w:themeColor="text1"/>
        </w:rPr>
        <w:t xml:space="preserve"> primeiro tempo cirúrgico</w:t>
      </w:r>
      <w:r w:rsidR="00EF46FB">
        <w:rPr>
          <w:rFonts w:ascii="Arial" w:hAnsi="Arial" w:cs="Arial"/>
          <w:color w:val="000000" w:themeColor="text1"/>
        </w:rPr>
        <w:t>,</w:t>
      </w:r>
      <w:r w:rsidR="003C2262">
        <w:rPr>
          <w:rFonts w:ascii="Arial" w:hAnsi="Arial" w:cs="Arial"/>
          <w:color w:val="000000" w:themeColor="text1"/>
        </w:rPr>
        <w:t xml:space="preserve"> feito </w:t>
      </w:r>
      <w:r>
        <w:rPr>
          <w:rFonts w:ascii="Arial" w:hAnsi="Arial" w:cs="Arial"/>
          <w:color w:val="000000" w:themeColor="text1"/>
        </w:rPr>
        <w:t xml:space="preserve">por via posterior em decúbito </w:t>
      </w:r>
      <w:r w:rsidR="00B849B3">
        <w:rPr>
          <w:rFonts w:ascii="Arial" w:hAnsi="Arial" w:cs="Arial"/>
          <w:color w:val="000000" w:themeColor="text1"/>
        </w:rPr>
        <w:t>ventral, foi</w:t>
      </w:r>
      <w:r w:rsidR="003C2262">
        <w:rPr>
          <w:rFonts w:ascii="Arial" w:hAnsi="Arial" w:cs="Arial"/>
          <w:color w:val="000000" w:themeColor="text1"/>
        </w:rPr>
        <w:t xml:space="preserve"> realizada a </w:t>
      </w:r>
      <w:proofErr w:type="spellStart"/>
      <w:r>
        <w:rPr>
          <w:rFonts w:ascii="Arial" w:hAnsi="Arial" w:cs="Arial"/>
          <w:color w:val="000000" w:themeColor="text1"/>
        </w:rPr>
        <w:t>osteotomia</w:t>
      </w:r>
      <w:proofErr w:type="spellEnd"/>
      <w:r>
        <w:rPr>
          <w:rFonts w:ascii="Arial" w:hAnsi="Arial" w:cs="Arial"/>
          <w:color w:val="000000" w:themeColor="text1"/>
        </w:rPr>
        <w:t xml:space="preserve"> do foco de consolidação viciosa </w:t>
      </w:r>
      <w:r w:rsidR="003C2262">
        <w:rPr>
          <w:rFonts w:ascii="Arial" w:hAnsi="Arial" w:cs="Arial"/>
          <w:color w:val="000000" w:themeColor="text1"/>
        </w:rPr>
        <w:t xml:space="preserve">para o realinhamento da fratura </w:t>
      </w:r>
      <w:r>
        <w:rPr>
          <w:rFonts w:ascii="Arial" w:hAnsi="Arial" w:cs="Arial"/>
          <w:color w:val="000000" w:themeColor="text1"/>
        </w:rPr>
        <w:t>bem como procedimentos de descompressão do canal vertebral e liberação de raízes nervosas</w:t>
      </w:r>
      <w:r w:rsidR="00B849B3">
        <w:rPr>
          <w:rFonts w:ascii="Arial" w:hAnsi="Arial" w:cs="Arial"/>
          <w:color w:val="000000" w:themeColor="text1"/>
        </w:rPr>
        <w:t>.</w:t>
      </w:r>
      <w:r w:rsidR="003C2262">
        <w:rPr>
          <w:rFonts w:ascii="Arial" w:hAnsi="Arial" w:cs="Arial"/>
          <w:color w:val="000000" w:themeColor="text1"/>
        </w:rPr>
        <w:t xml:space="preserve"> </w:t>
      </w:r>
      <w:r w:rsidR="00B849B3">
        <w:rPr>
          <w:rFonts w:ascii="Arial" w:hAnsi="Arial" w:cs="Arial"/>
          <w:color w:val="000000" w:themeColor="text1"/>
        </w:rPr>
        <w:t>O</w:t>
      </w:r>
      <w:r w:rsidR="003C2262">
        <w:rPr>
          <w:rFonts w:ascii="Arial" w:hAnsi="Arial" w:cs="Arial"/>
          <w:color w:val="000000" w:themeColor="text1"/>
        </w:rPr>
        <w:t xml:space="preserve"> segundo tempo</w:t>
      </w:r>
      <w:r w:rsidR="00EF46FB">
        <w:rPr>
          <w:rFonts w:ascii="Arial" w:hAnsi="Arial" w:cs="Arial"/>
          <w:color w:val="000000" w:themeColor="text1"/>
        </w:rPr>
        <w:t>,</w:t>
      </w:r>
      <w:r w:rsidR="003C2262">
        <w:rPr>
          <w:rFonts w:ascii="Arial" w:hAnsi="Arial" w:cs="Arial"/>
          <w:color w:val="000000" w:themeColor="text1"/>
        </w:rPr>
        <w:t xml:space="preserve"> feito por via anterior em decúbito dorsal</w:t>
      </w:r>
      <w:r w:rsidR="00EF46FB">
        <w:rPr>
          <w:rFonts w:ascii="Arial" w:hAnsi="Arial" w:cs="Arial"/>
          <w:color w:val="000000" w:themeColor="text1"/>
        </w:rPr>
        <w:t>,</w:t>
      </w:r>
      <w:r w:rsidR="003C2262">
        <w:rPr>
          <w:rFonts w:ascii="Arial" w:hAnsi="Arial" w:cs="Arial"/>
          <w:color w:val="000000" w:themeColor="text1"/>
        </w:rPr>
        <w:t xml:space="preserve"> </w:t>
      </w:r>
      <w:r w:rsidR="007C6C75">
        <w:rPr>
          <w:rFonts w:ascii="Arial" w:hAnsi="Arial" w:cs="Arial"/>
          <w:color w:val="000000" w:themeColor="text1"/>
        </w:rPr>
        <w:t>com</w:t>
      </w:r>
      <w:r w:rsidR="003C2262">
        <w:rPr>
          <w:rFonts w:ascii="Arial" w:hAnsi="Arial" w:cs="Arial"/>
          <w:color w:val="000000" w:themeColor="text1"/>
        </w:rPr>
        <w:t xml:space="preserve"> o objetivo de reduzir e fixar a lesão do anel pélvico anterior e por fim a terceira abordagem, novamente por via posterior,</w:t>
      </w:r>
      <w:r w:rsidR="007C6C75">
        <w:rPr>
          <w:rFonts w:ascii="Arial" w:hAnsi="Arial" w:cs="Arial"/>
          <w:color w:val="000000" w:themeColor="text1"/>
        </w:rPr>
        <w:t xml:space="preserve"> </w:t>
      </w:r>
      <w:r w:rsidR="003C2262">
        <w:rPr>
          <w:rFonts w:ascii="Arial" w:hAnsi="Arial" w:cs="Arial"/>
          <w:color w:val="000000" w:themeColor="text1"/>
        </w:rPr>
        <w:t xml:space="preserve">utilizada para fixação </w:t>
      </w:r>
      <w:proofErr w:type="spellStart"/>
      <w:r w:rsidR="003C2262">
        <w:rPr>
          <w:rFonts w:ascii="Arial" w:hAnsi="Arial" w:cs="Arial"/>
          <w:color w:val="000000" w:themeColor="text1"/>
        </w:rPr>
        <w:t>espinopélvica</w:t>
      </w:r>
      <w:proofErr w:type="spellEnd"/>
      <w:r w:rsidR="003C2262">
        <w:rPr>
          <w:rFonts w:ascii="Arial" w:hAnsi="Arial" w:cs="Arial"/>
          <w:color w:val="000000" w:themeColor="text1"/>
        </w:rPr>
        <w:t xml:space="preserve"> bilateral, através da </w:t>
      </w:r>
      <w:r w:rsidR="007C6C75">
        <w:rPr>
          <w:rFonts w:ascii="Arial" w:hAnsi="Arial" w:cs="Arial"/>
          <w:color w:val="000000" w:themeColor="text1"/>
        </w:rPr>
        <w:t>instrumentação</w:t>
      </w:r>
      <w:r w:rsidR="003C2262">
        <w:rPr>
          <w:rFonts w:ascii="Arial" w:hAnsi="Arial" w:cs="Arial"/>
          <w:color w:val="000000" w:themeColor="text1"/>
        </w:rPr>
        <w:t xml:space="preserve"> pedicular e do ilíaco. </w:t>
      </w:r>
    </w:p>
    <w:p w14:paraId="17FBE5F0" w14:textId="27975252" w:rsidR="00923C23" w:rsidRPr="00915975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915975">
        <w:rPr>
          <w:rFonts w:ascii="Arial" w:hAnsi="Arial" w:cs="Arial"/>
          <w:color w:val="000000" w:themeColor="text1"/>
        </w:rPr>
        <w:t>Assim como encontrado em outros estudos, as principais complicações foram infecção do sítio cirúrgico (n=</w:t>
      </w:r>
      <w:r w:rsidR="00EF46FB">
        <w:rPr>
          <w:rFonts w:ascii="Arial" w:hAnsi="Arial" w:cs="Arial"/>
          <w:color w:val="000000" w:themeColor="text1"/>
        </w:rPr>
        <w:t>3</w:t>
      </w:r>
      <w:r w:rsidRPr="00915975">
        <w:rPr>
          <w:rFonts w:ascii="Arial" w:hAnsi="Arial" w:cs="Arial"/>
          <w:color w:val="000000" w:themeColor="text1"/>
        </w:rPr>
        <w:t xml:space="preserve">) e </w:t>
      </w:r>
      <w:r w:rsidR="00EF46FB">
        <w:rPr>
          <w:rFonts w:ascii="Arial" w:hAnsi="Arial" w:cs="Arial"/>
          <w:color w:val="000000" w:themeColor="text1"/>
        </w:rPr>
        <w:t>mau posicionamento</w:t>
      </w:r>
      <w:r w:rsidRPr="00915975">
        <w:rPr>
          <w:rFonts w:ascii="Arial" w:hAnsi="Arial" w:cs="Arial"/>
          <w:color w:val="000000" w:themeColor="text1"/>
        </w:rPr>
        <w:t xml:space="preserve"> (n=1) </w:t>
      </w:r>
      <w:r w:rsidRPr="00915975">
        <w:rPr>
          <w:rFonts w:ascii="Arial" w:hAnsi="Arial" w:cs="Arial"/>
          <w:color w:val="000000" w:themeColor="text1"/>
          <w:vertAlign w:val="superscript"/>
        </w:rPr>
        <w:t>2</w:t>
      </w:r>
      <w:r w:rsidR="00D87F77">
        <w:rPr>
          <w:rFonts w:ascii="Arial" w:hAnsi="Arial" w:cs="Arial"/>
          <w:color w:val="000000" w:themeColor="text1"/>
          <w:vertAlign w:val="superscript"/>
        </w:rPr>
        <w:t>2</w:t>
      </w:r>
      <w:r w:rsidRPr="00915975">
        <w:rPr>
          <w:rFonts w:ascii="Arial" w:hAnsi="Arial" w:cs="Arial"/>
          <w:color w:val="000000" w:themeColor="text1"/>
        </w:rPr>
        <w:t xml:space="preserve">. Em </w:t>
      </w:r>
      <w:r w:rsidR="00EF46FB">
        <w:rPr>
          <w:rFonts w:ascii="Arial" w:hAnsi="Arial" w:cs="Arial"/>
          <w:color w:val="000000" w:themeColor="text1"/>
        </w:rPr>
        <w:t>todos</w:t>
      </w:r>
      <w:r w:rsidRPr="00915975">
        <w:rPr>
          <w:rFonts w:ascii="Arial" w:hAnsi="Arial" w:cs="Arial"/>
          <w:color w:val="000000" w:themeColor="text1"/>
        </w:rPr>
        <w:t xml:space="preserve"> </w:t>
      </w:r>
      <w:r w:rsidRPr="00915975">
        <w:rPr>
          <w:rFonts w:ascii="Arial" w:hAnsi="Arial" w:cs="Arial"/>
          <w:color w:val="000000" w:themeColor="text1"/>
        </w:rPr>
        <w:lastRenderedPageBreak/>
        <w:t xml:space="preserve">os casos foram necessárias </w:t>
      </w:r>
      <w:proofErr w:type="spellStart"/>
      <w:r w:rsidRPr="00915975">
        <w:rPr>
          <w:rFonts w:ascii="Arial" w:hAnsi="Arial" w:cs="Arial"/>
          <w:color w:val="000000" w:themeColor="text1"/>
        </w:rPr>
        <w:t>reabordagens</w:t>
      </w:r>
      <w:proofErr w:type="spellEnd"/>
      <w:r w:rsidRPr="00915975">
        <w:rPr>
          <w:rFonts w:ascii="Arial" w:hAnsi="Arial" w:cs="Arial"/>
          <w:color w:val="000000" w:themeColor="text1"/>
        </w:rPr>
        <w:t xml:space="preserve"> cirúrgicas, percentual consideravelmente </w:t>
      </w:r>
      <w:r w:rsidR="00EF46FB">
        <w:rPr>
          <w:rFonts w:ascii="Arial" w:hAnsi="Arial" w:cs="Arial"/>
          <w:color w:val="000000" w:themeColor="text1"/>
        </w:rPr>
        <w:t xml:space="preserve">maior </w:t>
      </w:r>
      <w:r w:rsidRPr="00915975">
        <w:rPr>
          <w:rFonts w:ascii="Arial" w:hAnsi="Arial" w:cs="Arial"/>
          <w:color w:val="000000" w:themeColor="text1"/>
        </w:rPr>
        <w:t xml:space="preserve">do que os 42% descritos por </w:t>
      </w:r>
      <w:proofErr w:type="spellStart"/>
      <w:r w:rsidRPr="00915975">
        <w:rPr>
          <w:rFonts w:ascii="Arial" w:hAnsi="Arial" w:cs="Arial"/>
          <w:color w:val="000000" w:themeColor="text1"/>
        </w:rPr>
        <w:t>Bellabarba</w:t>
      </w:r>
      <w:proofErr w:type="spellEnd"/>
      <w:r w:rsidRPr="00915975">
        <w:rPr>
          <w:rFonts w:ascii="Arial" w:hAnsi="Arial" w:cs="Arial"/>
          <w:color w:val="000000" w:themeColor="text1"/>
        </w:rPr>
        <w:t xml:space="preserve"> e seus colaboradores</w:t>
      </w:r>
      <w:r>
        <w:rPr>
          <w:rFonts w:ascii="Arial" w:hAnsi="Arial" w:cs="Arial"/>
          <w:color w:val="000000" w:themeColor="text1"/>
          <w:vertAlign w:val="superscript"/>
        </w:rPr>
        <w:t>2</w:t>
      </w:r>
      <w:r w:rsidR="00D87F77">
        <w:rPr>
          <w:rFonts w:ascii="Arial" w:hAnsi="Arial" w:cs="Arial"/>
          <w:color w:val="000000" w:themeColor="text1"/>
          <w:vertAlign w:val="superscript"/>
        </w:rPr>
        <w:t>3</w:t>
      </w:r>
      <w:r w:rsidRPr="00915975">
        <w:rPr>
          <w:rFonts w:ascii="Arial" w:hAnsi="Arial" w:cs="Arial"/>
          <w:color w:val="000000" w:themeColor="text1"/>
        </w:rPr>
        <w:t>. Todos os pacientes apresentaram evolução cl</w:t>
      </w:r>
      <w:r w:rsidR="00B849B3">
        <w:rPr>
          <w:rFonts w:ascii="Arial" w:hAnsi="Arial" w:cs="Arial"/>
          <w:color w:val="000000" w:themeColor="text1"/>
        </w:rPr>
        <w:t>í</w:t>
      </w:r>
      <w:r w:rsidRPr="00915975">
        <w:rPr>
          <w:rFonts w:ascii="Arial" w:hAnsi="Arial" w:cs="Arial"/>
          <w:color w:val="000000" w:themeColor="text1"/>
        </w:rPr>
        <w:t xml:space="preserve">nica satisfatória até a última consulta de seguimento. </w:t>
      </w:r>
    </w:p>
    <w:p w14:paraId="35B0E3C2" w14:textId="7E7755D1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se tratar de um estudo conduzido em um hospital </w:t>
      </w:r>
      <w:r w:rsidR="00EF46FB">
        <w:rPr>
          <w:rFonts w:ascii="Arial" w:hAnsi="Arial" w:cs="Arial"/>
        </w:rPr>
        <w:t>referência de casos complexos de traumatologia e ortopedia do sistema público de saúde</w:t>
      </w:r>
      <w:r>
        <w:rPr>
          <w:rFonts w:ascii="Arial" w:hAnsi="Arial" w:cs="Arial"/>
        </w:rPr>
        <w:t>, todos os casos foram atendidos inicialmente em outro</w:t>
      </w:r>
      <w:r w:rsidR="00EF46F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hospita</w:t>
      </w:r>
      <w:r w:rsidR="00EF46FB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e posteriormente transferidos para o tratamento definitivo. Assim, a média de tempo decorrido entre a fratura e o a tratamento cirúrgico da lesão sacral foi de </w:t>
      </w:r>
      <w:r w:rsidR="00435EB2" w:rsidRPr="00435EB2">
        <w:rPr>
          <w:rFonts w:ascii="Arial" w:hAnsi="Arial" w:cs="Arial"/>
          <w:color w:val="000000" w:themeColor="text1"/>
        </w:rPr>
        <w:t>54,6</w:t>
      </w:r>
      <w:r w:rsidRPr="00435EB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</w:rPr>
        <w:t>dias (variação de 2</w:t>
      </w:r>
      <w:r w:rsidR="00EF46F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a 210 dias). </w:t>
      </w:r>
      <w:r w:rsidR="00EF46FB">
        <w:rPr>
          <w:rFonts w:ascii="Arial" w:hAnsi="Arial" w:cs="Arial"/>
        </w:rPr>
        <w:t>Tal fato contribuiu</w:t>
      </w:r>
      <w:r>
        <w:rPr>
          <w:rFonts w:ascii="Arial" w:hAnsi="Arial" w:cs="Arial"/>
        </w:rPr>
        <w:t xml:space="preserve"> para aumentar a complexidade, a duração e o sangramento dos procedimentos. </w:t>
      </w:r>
      <w:r w:rsidRPr="00C539DF">
        <w:rPr>
          <w:rFonts w:ascii="Arial" w:hAnsi="Arial" w:cs="Arial"/>
          <w:color w:val="000000" w:themeColor="text1"/>
        </w:rPr>
        <w:t>Esses fatores podem estar relacionados ao aumento de complicações pós-operatórias.</w:t>
      </w:r>
      <w:r>
        <w:rPr>
          <w:rFonts w:ascii="Arial" w:hAnsi="Arial" w:cs="Arial"/>
        </w:rPr>
        <w:t xml:space="preserve"> </w:t>
      </w:r>
    </w:p>
    <w:p w14:paraId="5E1E4C76" w14:textId="4E7B7D38" w:rsidR="00923C23" w:rsidRDefault="00923C23" w:rsidP="002E05AE">
      <w:pPr>
        <w:pStyle w:val="NormalWeb"/>
        <w:spacing w:line="48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C539DF">
        <w:rPr>
          <w:rFonts w:ascii="Arial" w:hAnsi="Arial" w:cs="Arial"/>
          <w:color w:val="000000" w:themeColor="text1"/>
        </w:rPr>
        <w:t xml:space="preserve">A análise retrospectiva e </w:t>
      </w:r>
      <w:r w:rsidR="0048246B">
        <w:rPr>
          <w:rFonts w:ascii="Arial" w:hAnsi="Arial" w:cs="Arial"/>
          <w:color w:val="000000" w:themeColor="text1"/>
        </w:rPr>
        <w:t>o</w:t>
      </w:r>
      <w:r w:rsidRPr="00C539DF">
        <w:rPr>
          <w:rFonts w:ascii="Arial" w:hAnsi="Arial" w:cs="Arial"/>
          <w:color w:val="000000" w:themeColor="text1"/>
        </w:rPr>
        <w:t xml:space="preserve"> número </w:t>
      </w:r>
      <w:r w:rsidR="00AB4D45">
        <w:rPr>
          <w:rFonts w:ascii="Arial" w:hAnsi="Arial" w:cs="Arial"/>
          <w:color w:val="000000" w:themeColor="text1"/>
        </w:rPr>
        <w:t>reduzido de</w:t>
      </w:r>
      <w:r w:rsidRPr="00C539DF">
        <w:rPr>
          <w:rFonts w:ascii="Arial" w:hAnsi="Arial" w:cs="Arial"/>
          <w:color w:val="000000" w:themeColor="text1"/>
        </w:rPr>
        <w:t xml:space="preserve"> pacientes são </w:t>
      </w:r>
      <w:r w:rsidR="00C63F84">
        <w:rPr>
          <w:rFonts w:ascii="Arial" w:hAnsi="Arial" w:cs="Arial"/>
          <w:color w:val="000000" w:themeColor="text1"/>
        </w:rPr>
        <w:t>l</w:t>
      </w:r>
      <w:r w:rsidRPr="00C539DF">
        <w:rPr>
          <w:rFonts w:ascii="Arial" w:hAnsi="Arial" w:cs="Arial"/>
          <w:color w:val="000000" w:themeColor="text1"/>
        </w:rPr>
        <w:t xml:space="preserve">imitações deste estudo. </w:t>
      </w:r>
      <w:r w:rsidR="0008693B">
        <w:rPr>
          <w:rFonts w:ascii="Arial" w:hAnsi="Arial" w:cs="Arial"/>
          <w:color w:val="000000" w:themeColor="text1"/>
        </w:rPr>
        <w:t xml:space="preserve">Pela falta de estudos que avaliem os desfechos do tratamento cirúrgico das lesões complexas envelhecidas do sacro, nossos resultados foram comparados às séries de casos que trataram agudamente essas lesões. </w:t>
      </w:r>
      <w:r w:rsidR="00C63F84">
        <w:rPr>
          <w:rFonts w:ascii="Arial" w:hAnsi="Arial" w:cs="Arial"/>
          <w:color w:val="000000" w:themeColor="text1"/>
        </w:rPr>
        <w:t>De</w:t>
      </w:r>
      <w:r w:rsidRPr="00C539DF">
        <w:rPr>
          <w:rFonts w:ascii="Arial" w:hAnsi="Arial" w:cs="Arial"/>
          <w:color w:val="000000" w:themeColor="text1"/>
        </w:rPr>
        <w:t xml:space="preserve"> acordo com a literatura, a maioria das complicações relacionadas ao material de síntese ocorrem </w:t>
      </w:r>
      <w:r w:rsidR="0048246B">
        <w:rPr>
          <w:rFonts w:ascii="Arial" w:hAnsi="Arial" w:cs="Arial"/>
          <w:color w:val="000000" w:themeColor="text1"/>
        </w:rPr>
        <w:t xml:space="preserve">nos primeiros </w:t>
      </w:r>
      <w:r w:rsidRPr="00C539DF">
        <w:rPr>
          <w:rFonts w:ascii="Arial" w:hAnsi="Arial" w:cs="Arial"/>
          <w:color w:val="000000" w:themeColor="text1"/>
        </w:rPr>
        <w:t>dois anos após o procedimento</w:t>
      </w:r>
      <w:r w:rsidRPr="00C539DF">
        <w:rPr>
          <w:rFonts w:ascii="Arial" w:hAnsi="Arial" w:cs="Arial"/>
          <w:color w:val="000000" w:themeColor="text1"/>
          <w:vertAlign w:val="superscript"/>
        </w:rPr>
        <w:t>2</w:t>
      </w:r>
      <w:r w:rsidRPr="00C539DF">
        <w:rPr>
          <w:rFonts w:ascii="Arial" w:hAnsi="Arial" w:cs="Arial"/>
          <w:color w:val="000000" w:themeColor="text1"/>
        </w:rPr>
        <w:t>. Dessa forma ainda podem ser esperadas complicações tardias, principalmente nos casos em que o seguimento pós-operatório foi menor que 24 meses.</w:t>
      </w:r>
    </w:p>
    <w:p w14:paraId="4BBC6CBE" w14:textId="760DB00B" w:rsidR="00900EA1" w:rsidRDefault="008F4FB3" w:rsidP="002E05AE">
      <w:pPr>
        <w:pStyle w:val="NormalWeb"/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CONCLUSÃO:</w:t>
      </w:r>
    </w:p>
    <w:p w14:paraId="5CBE7660" w14:textId="77777777" w:rsidR="00287F7B" w:rsidRPr="00BD1641" w:rsidRDefault="00F4744D" w:rsidP="00287F7B">
      <w:pPr>
        <w:spacing w:line="360" w:lineRule="auto"/>
        <w:jc w:val="both"/>
        <w:rPr>
          <w:rFonts w:ascii="Arial" w:hAnsi="Arial" w:cs="Arial"/>
          <w:bCs/>
          <w:color w:val="1F3864" w:themeColor="accent1" w:themeShade="80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 xml:space="preserve">Ao nosso conhecimento, este é o primeiro estudo publicado que apresenta os resultados de uma série de casos de lesões complexas </w:t>
      </w:r>
      <w:r>
        <w:rPr>
          <w:rFonts w:ascii="Arial" w:hAnsi="Arial" w:cs="Arial"/>
          <w:bCs/>
        </w:rPr>
        <w:lastRenderedPageBreak/>
        <w:t xml:space="preserve">envelhecidas do sacro tratadas cirurgicamente. </w:t>
      </w:r>
      <w:r w:rsidR="00287F7B" w:rsidRPr="00287F7B">
        <w:rPr>
          <w:rFonts w:ascii="Arial" w:hAnsi="Arial" w:cs="Arial"/>
          <w:bCs/>
          <w:color w:val="000000" w:themeColor="text1"/>
        </w:rPr>
        <w:t>O tratamento cirúrgico das lesões complexas envelhecidas do sacro</w:t>
      </w:r>
      <w:r w:rsidR="00287F7B" w:rsidRPr="00287F7B">
        <w:rPr>
          <w:rFonts w:ascii="Arial" w:hAnsi="Arial" w:cs="Arial"/>
          <w:color w:val="000000" w:themeColor="text1"/>
        </w:rPr>
        <w:t xml:space="preserve"> por meio de</w:t>
      </w:r>
      <w:r w:rsidR="00287F7B" w:rsidRPr="00287F7B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="00287F7B" w:rsidRPr="00287F7B">
        <w:rPr>
          <w:rFonts w:ascii="Arial" w:hAnsi="Arial" w:cs="Arial"/>
          <w:bCs/>
          <w:color w:val="000000" w:themeColor="text1"/>
        </w:rPr>
        <w:t>osteossíntese</w:t>
      </w:r>
      <w:proofErr w:type="spellEnd"/>
      <w:r w:rsidR="00287F7B" w:rsidRPr="00287F7B">
        <w:rPr>
          <w:rFonts w:ascii="Arial" w:hAnsi="Arial" w:cs="Arial"/>
          <w:bCs/>
          <w:color w:val="000000" w:themeColor="text1"/>
        </w:rPr>
        <w:t xml:space="preserve"> triangular e</w:t>
      </w:r>
      <w:r w:rsidR="00287F7B" w:rsidRPr="00287F7B">
        <w:rPr>
          <w:rFonts w:ascii="Arial" w:hAnsi="Arial" w:cs="Arial"/>
          <w:color w:val="000000" w:themeColor="text1"/>
        </w:rPr>
        <w:t xml:space="preserve"> fixação </w:t>
      </w:r>
      <w:proofErr w:type="spellStart"/>
      <w:r w:rsidR="00287F7B" w:rsidRPr="00287F7B">
        <w:rPr>
          <w:rFonts w:ascii="Arial" w:hAnsi="Arial" w:cs="Arial"/>
          <w:color w:val="000000" w:themeColor="text1"/>
        </w:rPr>
        <w:t>espinopélvica</w:t>
      </w:r>
      <w:proofErr w:type="spellEnd"/>
      <w:r w:rsidR="00287F7B" w:rsidRPr="00287F7B">
        <w:rPr>
          <w:rFonts w:ascii="Arial" w:hAnsi="Arial" w:cs="Arial"/>
          <w:color w:val="000000" w:themeColor="text1"/>
        </w:rPr>
        <w:t xml:space="preserve"> bilateral </w:t>
      </w:r>
      <w:r w:rsidR="00287F7B" w:rsidRPr="00287F7B">
        <w:rPr>
          <w:rFonts w:ascii="Arial" w:hAnsi="Arial" w:cs="Arial"/>
          <w:bCs/>
          <w:color w:val="000000" w:themeColor="text1"/>
        </w:rPr>
        <w:t>se mostrou seguro e eficaz, embora esta última técnica tenha apresentado maior taxas de complicações.</w:t>
      </w:r>
    </w:p>
    <w:p w14:paraId="062780EC" w14:textId="11D0365E" w:rsidR="00F4744D" w:rsidRPr="00F4744D" w:rsidRDefault="00F4744D" w:rsidP="002E05AE">
      <w:pPr>
        <w:pStyle w:val="NormalWeb"/>
        <w:spacing w:line="480" w:lineRule="auto"/>
        <w:jc w:val="both"/>
        <w:rPr>
          <w:rFonts w:ascii="Arial" w:hAnsi="Arial" w:cs="Arial"/>
          <w:bCs/>
        </w:rPr>
      </w:pPr>
    </w:p>
    <w:p w14:paraId="7C2FB12D" w14:textId="069457F6" w:rsidR="00900EA1" w:rsidRDefault="00900EA1" w:rsidP="002E05AE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03FF3045" w14:textId="6FEB6782" w:rsidR="00D27A74" w:rsidRDefault="00D27A74" w:rsidP="002E05AE">
      <w:pPr>
        <w:spacing w:line="480" w:lineRule="auto"/>
        <w:jc w:val="both"/>
        <w:rPr>
          <w:rFonts w:ascii="Arial" w:hAnsi="Arial" w:cs="Arial"/>
          <w:b/>
        </w:rPr>
      </w:pPr>
    </w:p>
    <w:p w14:paraId="34EED905" w14:textId="77777777" w:rsidR="00D27A74" w:rsidRPr="00900EA1" w:rsidRDefault="00D27A74" w:rsidP="002E05AE">
      <w:pPr>
        <w:spacing w:line="480" w:lineRule="auto"/>
        <w:jc w:val="both"/>
        <w:rPr>
          <w:rFonts w:ascii="Arial" w:hAnsi="Arial" w:cs="Arial"/>
        </w:rPr>
      </w:pPr>
    </w:p>
    <w:p w14:paraId="0B72CDF8" w14:textId="6DF68955" w:rsidR="00956260" w:rsidRPr="00900EA1" w:rsidRDefault="00843A57" w:rsidP="002E05AE">
      <w:pPr>
        <w:pStyle w:val="NormalWeb"/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</w:t>
      </w:r>
    </w:p>
    <w:p w14:paraId="7B87EE54" w14:textId="4C582E56" w:rsidR="001A772A" w:rsidRDefault="001A772A" w:rsidP="002E05AE">
      <w:pPr>
        <w:widowControl w:val="0"/>
        <w:autoSpaceDE w:val="0"/>
        <w:autoSpaceDN w:val="0"/>
        <w:adjustRightInd w:val="0"/>
        <w:spacing w:after="240" w:line="480" w:lineRule="auto"/>
        <w:rPr>
          <w:rFonts w:ascii="Arial" w:hAnsi="Arial" w:cs="Arial"/>
          <w:b/>
        </w:rPr>
      </w:pPr>
      <w:r w:rsidRPr="009B3FEC">
        <w:rPr>
          <w:rFonts w:ascii="Arial" w:hAnsi="Arial" w:cs="Arial"/>
          <w:b/>
        </w:rPr>
        <w:t xml:space="preserve">REFERÊCIAS: </w:t>
      </w:r>
    </w:p>
    <w:p w14:paraId="1AC82ABC" w14:textId="4B434580" w:rsidR="00900EA1" w:rsidRPr="00115AB0" w:rsidRDefault="001A772A" w:rsidP="002E05AE">
      <w:pPr>
        <w:pStyle w:val="PargrafodaLista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noProof/>
          <w:color w:val="000000" w:themeColor="text1"/>
          <w:lang w:val="en-US"/>
        </w:rPr>
        <w:t xml:space="preserve">Bellabarba, Carlo e Bransford, Richard J. Spinopelvic Fixation. </w:t>
      </w:r>
      <w:r w:rsidRPr="00115AB0">
        <w:rPr>
          <w:rFonts w:ascii="Arial" w:hAnsi="Arial" w:cs="Arial"/>
          <w:noProof/>
          <w:color w:val="000000" w:themeColor="text1"/>
        </w:rPr>
        <w:t xml:space="preserve">[A. do livro] Carlo Bellabarba e Frank Kandziora. </w:t>
      </w:r>
      <w:r w:rsidRPr="00115AB0">
        <w:rPr>
          <w:rFonts w:ascii="Arial" w:hAnsi="Arial" w:cs="Arial"/>
          <w:i/>
          <w:iCs/>
          <w:noProof/>
          <w:color w:val="000000" w:themeColor="text1"/>
          <w:lang w:val="en-US"/>
        </w:rPr>
        <w:t xml:space="preserve">AOSpine Master Series - Thoracolumbar Spine Trauma. </w:t>
      </w:r>
      <w:r w:rsidRPr="00115AB0">
        <w:rPr>
          <w:rFonts w:ascii="Arial" w:hAnsi="Arial" w:cs="Arial"/>
          <w:noProof/>
          <w:color w:val="000000" w:themeColor="text1"/>
          <w:lang w:val="en-US"/>
        </w:rPr>
        <w:t>s.l. : Thieme, 2016, Vol. 6, 13, pp. 152-184</w:t>
      </w:r>
      <w:r w:rsidR="0001046F" w:rsidRPr="00115AB0">
        <w:rPr>
          <w:rFonts w:ascii="Arial" w:hAnsi="Arial" w:cs="Arial"/>
          <w:noProof/>
          <w:color w:val="000000" w:themeColor="text1"/>
          <w:lang w:val="en-US"/>
        </w:rPr>
        <w:t>.</w:t>
      </w:r>
    </w:p>
    <w:p w14:paraId="56A131A4" w14:textId="6ECE19F0" w:rsidR="00900EA1" w:rsidRPr="00115AB0" w:rsidRDefault="001A772A" w:rsidP="002E05AE">
      <w:pPr>
        <w:pStyle w:val="Bibliografia"/>
        <w:numPr>
          <w:ilvl w:val="0"/>
          <w:numId w:val="4"/>
        </w:numPr>
        <w:spacing w:after="200" w:line="480" w:lineRule="auto"/>
        <w:rPr>
          <w:rFonts w:ascii="Arial" w:hAnsi="Arial" w:cs="Arial"/>
          <w:noProof/>
          <w:color w:val="000000" w:themeColor="text1"/>
        </w:rPr>
      </w:pPr>
      <w:r w:rsidRPr="00115AB0">
        <w:rPr>
          <w:rFonts w:ascii="Arial" w:hAnsi="Arial" w:cs="Arial"/>
          <w:noProof/>
          <w:color w:val="000000" w:themeColor="text1"/>
          <w:lang w:val="en-US"/>
        </w:rPr>
        <w:t xml:space="preserve">Miyamoto AK, Graells XSI, Sebben AL, Benato ML, Santoro PGD, Kulcheski AL. </w:t>
      </w:r>
      <w:r w:rsidRPr="00115AB0">
        <w:rPr>
          <w:rFonts w:ascii="Arial" w:hAnsi="Arial" w:cs="Arial"/>
          <w:noProof/>
          <w:color w:val="000000" w:themeColor="text1"/>
        </w:rPr>
        <w:t xml:space="preserve">Fraturas complexas do sacro com dissociação espinopélvica tratadas cirurgicamente com fixação iliolombar. </w:t>
      </w:r>
      <w:r w:rsidRPr="00115AB0">
        <w:rPr>
          <w:rFonts w:ascii="Arial" w:hAnsi="Arial" w:cs="Arial"/>
          <w:noProof/>
          <w:color w:val="000000" w:themeColor="text1"/>
          <w:lang w:val="en-US"/>
        </w:rPr>
        <w:t>Rev Bras Ortop 2020; 55(3):304-9</w:t>
      </w:r>
      <w:r w:rsidR="0001046F" w:rsidRPr="00115AB0">
        <w:rPr>
          <w:rFonts w:ascii="Arial" w:hAnsi="Arial" w:cs="Arial"/>
          <w:noProof/>
          <w:color w:val="000000" w:themeColor="text1"/>
          <w:lang w:val="en-US"/>
        </w:rPr>
        <w:t>.</w:t>
      </w:r>
    </w:p>
    <w:p w14:paraId="430404AA" w14:textId="23C694FF" w:rsidR="00115AB0" w:rsidRPr="00115AB0" w:rsidRDefault="001A772A" w:rsidP="002E05AE">
      <w:pPr>
        <w:pStyle w:val="Bibliografia"/>
        <w:numPr>
          <w:ilvl w:val="0"/>
          <w:numId w:val="4"/>
        </w:numPr>
        <w:spacing w:after="200" w:line="480" w:lineRule="auto"/>
        <w:rPr>
          <w:rFonts w:ascii="Arial" w:hAnsi="Arial" w:cs="Arial"/>
          <w:color w:val="000000" w:themeColor="text1"/>
          <w:shd w:val="clear" w:color="auto" w:fill="FFFFFF"/>
        </w:rPr>
      </w:pP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Hussin P, Chan CY, Saw LB, Kwan MK. U-shaped sacral fracture: an easily missed fracture with high morbidity. </w:t>
      </w:r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A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report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of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two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cases.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Emerg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Med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J. 2009 Sep;26(9):677-8</w:t>
      </w:r>
      <w:r w:rsidR="00115AB0" w:rsidRPr="00115AB0">
        <w:rPr>
          <w:rFonts w:ascii="Arial" w:hAnsi="Arial" w:cs="Arial"/>
          <w:color w:val="000000" w:themeColor="text1"/>
          <w:shd w:val="clear" w:color="auto" w:fill="FFFFFF"/>
        </w:rPr>
        <w:t>.</w:t>
      </w:r>
    </w:p>
    <w:p w14:paraId="1C2972AF" w14:textId="6E3E0509" w:rsidR="00115AB0" w:rsidRPr="00115AB0" w:rsidRDefault="00115AB0" w:rsidP="002E05AE">
      <w:pPr>
        <w:pStyle w:val="PargrafodaLista"/>
        <w:numPr>
          <w:ilvl w:val="0"/>
          <w:numId w:val="4"/>
        </w:num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</w:rPr>
        <w:lastRenderedPageBreak/>
        <w:t xml:space="preserve">Rocha VM, Guimarães JAM, </w:t>
      </w:r>
      <w:proofErr w:type="spellStart"/>
      <w:r w:rsidRPr="00115AB0">
        <w:rPr>
          <w:rFonts w:ascii="Arial" w:hAnsi="Arial" w:cs="Arial"/>
          <w:color w:val="000000" w:themeColor="text1"/>
        </w:rPr>
        <w:t>Olivaes</w:t>
      </w:r>
      <w:proofErr w:type="spellEnd"/>
      <w:r w:rsidRPr="00115AB0">
        <w:rPr>
          <w:rFonts w:ascii="Arial" w:hAnsi="Arial" w:cs="Arial"/>
          <w:color w:val="000000" w:themeColor="text1"/>
        </w:rPr>
        <w:t xml:space="preserve"> Filho AP, Carrasco FM, Araujo Junior AEP, Aguiar DP, Barcellos ALL.</w:t>
      </w:r>
      <w:r w:rsidRPr="00115AB0">
        <w:rPr>
          <w:rStyle w:val="apple-converted-space"/>
          <w:rFonts w:ascii="Arial" w:hAnsi="Arial" w:cs="Arial"/>
          <w:color w:val="000000" w:themeColor="text1"/>
        </w:rPr>
        <w:t> </w:t>
      </w:r>
      <w:r w:rsidRPr="00115AB0">
        <w:rPr>
          <w:rStyle w:val="article-title"/>
          <w:rFonts w:ascii="Arial" w:hAnsi="Arial" w:cs="Arial"/>
          <w:color w:val="000000" w:themeColor="text1"/>
          <w:lang w:val="en-US"/>
        </w:rPr>
        <w:t>Sacral Fracture Treatment with a Variation of the Lumbopelvic Fixation Technique.</w:t>
      </w:r>
      <w:r w:rsidRPr="00115AB0">
        <w:rPr>
          <w:rStyle w:val="apple-converted-space"/>
          <w:rFonts w:ascii="Arial" w:hAnsi="Arial" w:cs="Arial"/>
          <w:i/>
          <w:iCs/>
          <w:color w:val="000000" w:themeColor="text1"/>
          <w:lang w:val="en-US"/>
        </w:rPr>
        <w:t> </w:t>
      </w:r>
      <w:proofErr w:type="spellStart"/>
      <w:r w:rsidRPr="00115AB0">
        <w:rPr>
          <w:rFonts w:ascii="Arial" w:hAnsi="Arial" w:cs="Arial"/>
          <w:i/>
          <w:iCs/>
          <w:color w:val="000000" w:themeColor="text1"/>
          <w:lang w:val="en-US"/>
        </w:rPr>
        <w:t>Coluna</w:t>
      </w:r>
      <w:proofErr w:type="spellEnd"/>
      <w:r w:rsidRPr="00115AB0">
        <w:rPr>
          <w:rFonts w:ascii="Arial" w:hAnsi="Arial" w:cs="Arial"/>
          <w:i/>
          <w:iCs/>
          <w:color w:val="000000" w:themeColor="text1"/>
          <w:lang w:val="en-US"/>
        </w:rPr>
        <w:t>/</w:t>
      </w:r>
      <w:proofErr w:type="spellStart"/>
      <w:r w:rsidRPr="00115AB0">
        <w:rPr>
          <w:rFonts w:ascii="Arial" w:hAnsi="Arial" w:cs="Arial"/>
          <w:i/>
          <w:iCs/>
          <w:color w:val="000000" w:themeColor="text1"/>
          <w:lang w:val="en-US"/>
        </w:rPr>
        <w:t>Columna</w:t>
      </w:r>
      <w:proofErr w:type="spellEnd"/>
      <w:r w:rsidRPr="00115AB0">
        <w:rPr>
          <w:rStyle w:val="apple-converted-space"/>
          <w:rFonts w:ascii="Arial" w:hAnsi="Arial" w:cs="Arial"/>
          <w:color w:val="000000" w:themeColor="text1"/>
          <w:lang w:val="en-US"/>
        </w:rPr>
        <w:t> </w:t>
      </w:r>
      <w:r w:rsidRPr="00115AB0">
        <w:rPr>
          <w:rFonts w:ascii="Arial" w:hAnsi="Arial" w:cs="Arial"/>
          <w:color w:val="000000" w:themeColor="text1"/>
          <w:lang w:val="en-US"/>
        </w:rPr>
        <w:t>2018; 17(1):69-73.</w:t>
      </w:r>
    </w:p>
    <w:p w14:paraId="48A6E950" w14:textId="77777777" w:rsidR="00263170" w:rsidRPr="007C5B67" w:rsidRDefault="0026317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Singh V, Rustagi T, Hart R. Extended L5 pedicle subtraction osteotomy for neglected sacropelvic dissociation injury: case report. J </w:t>
      </w:r>
      <w:proofErr w:type="spell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Neurosurg</w:t>
      </w:r>
      <w:proofErr w:type="spell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Spine. 2019 Mar 29;31(1):35-39. </w:t>
      </w:r>
      <w:proofErr w:type="spell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doi</w:t>
      </w:r>
      <w:proofErr w:type="spell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: 10.3171/2019.</w:t>
      </w:r>
      <w:proofErr w:type="gram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1.SPINE</w:t>
      </w:r>
      <w:proofErr w:type="gram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181271. PMID: 30925483.</w:t>
      </w:r>
    </w:p>
    <w:p w14:paraId="550373FE" w14:textId="77777777" w:rsidR="00263170" w:rsidRPr="007C5B67" w:rsidRDefault="0026317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7C5B67">
        <w:rPr>
          <w:rFonts w:ascii="Arial" w:hAnsi="Arial" w:cs="Arial"/>
          <w:color w:val="000000" w:themeColor="text1"/>
          <w:lang w:val="en-US"/>
        </w:rPr>
        <w:t xml:space="preserve">Roy-Camille R, Edward B, Zeller R,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Lapresle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 P: Les Lesions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Traumatiques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Anciennes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 du Rachis Cervical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Inferieure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. In Rachis cervical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inferieure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, 6mes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journees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d’Orthopedie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 xml:space="preserve"> de la </w:t>
      </w:r>
      <w:proofErr w:type="spellStart"/>
      <w:r w:rsidRPr="007C5B67">
        <w:rPr>
          <w:rFonts w:ascii="Arial" w:hAnsi="Arial" w:cs="Arial"/>
          <w:color w:val="000000" w:themeColor="text1"/>
          <w:lang w:val="en-US"/>
        </w:rPr>
        <w:t>Pitie</w:t>
      </w:r>
      <w:proofErr w:type="spellEnd"/>
      <w:r w:rsidRPr="007C5B67">
        <w:rPr>
          <w:rFonts w:ascii="Arial" w:hAnsi="Arial" w:cs="Arial"/>
          <w:color w:val="000000" w:themeColor="text1"/>
          <w:lang w:val="en-US"/>
        </w:rPr>
        <w:t>. Paris: Masson; 1988:139–146.</w:t>
      </w:r>
    </w:p>
    <w:p w14:paraId="543C9AA4" w14:textId="054F79E2" w:rsidR="00963313" w:rsidRPr="00115AB0" w:rsidRDefault="00963313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Hak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DJ, Baran S, Stahel P. Sacral fractures: current strategies in diagnosis and management. Orthopedics 2009;32(10):01-07</w:t>
      </w:r>
      <w:r w:rsidR="0001046F"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.</w:t>
      </w:r>
    </w:p>
    <w:p w14:paraId="38817AD9" w14:textId="56D7BF98" w:rsidR="00963313" w:rsidRPr="00115AB0" w:rsidRDefault="00963313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König MA,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Jehan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S,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Boszczyk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AA,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Boszczyk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BM. Surgical management of U-shaped sacral fractures: a systematic review of current treatment strategies.</w:t>
      </w:r>
      <w:r w:rsidRPr="00115AB0">
        <w:rPr>
          <w:rStyle w:val="apple-converted-space"/>
          <w:rFonts w:ascii="Arial" w:hAnsi="Arial" w:cs="Arial"/>
          <w:color w:val="000000" w:themeColor="text1"/>
          <w:shd w:val="clear" w:color="auto" w:fill="FFFFFF"/>
          <w:lang w:val="en-US"/>
        </w:rPr>
        <w:t> </w:t>
      </w:r>
      <w:r w:rsidRPr="00115AB0">
        <w:rPr>
          <w:rFonts w:ascii="Arial" w:hAnsi="Arial" w:cs="Arial"/>
          <w:i/>
          <w:iCs/>
          <w:color w:val="000000" w:themeColor="text1"/>
          <w:lang w:val="en-US"/>
        </w:rPr>
        <w:t>Eur Spine J</w:t>
      </w: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. 2012;21(5):829-836</w:t>
      </w:r>
      <w:r w:rsidR="0001046F"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.</w:t>
      </w:r>
    </w:p>
    <w:p w14:paraId="2DDE125F" w14:textId="3B738C6C" w:rsidR="00115AB0" w:rsidRPr="00115AB0" w:rsidRDefault="00115AB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lang w:val="en-US"/>
        </w:rPr>
        <w:t xml:space="preserve">Kaye ID, Yoon RS, Stickney W, Snavely J, Vaccaro AR,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Liporace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FA. Treatment of Spinopelvic Dissociation: A Critical Analysis Review. JBJS Rev 2018;6(01):e7</w:t>
      </w:r>
    </w:p>
    <w:p w14:paraId="3A0B040E" w14:textId="77777777" w:rsidR="00115AB0" w:rsidRPr="00115AB0" w:rsidRDefault="00115AB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</w:rPr>
      </w:pPr>
      <w:r w:rsidRPr="00115AB0">
        <w:rPr>
          <w:rFonts w:ascii="Arial" w:hAnsi="Arial" w:cs="Arial"/>
          <w:color w:val="000000" w:themeColor="text1"/>
          <w:lang w:val="en-US"/>
        </w:rPr>
        <w:t>McCord DH, Cunningham BW, Shono Y, Myers JJ, McAfee PC. Biomechanical analysis of lumbosacral fixation. Spine 1992;17(8</w:t>
      </w:r>
      <w:proofErr w:type="gramStart"/>
      <w:r w:rsidRPr="00115AB0">
        <w:rPr>
          <w:rFonts w:ascii="Arial" w:hAnsi="Arial" w:cs="Arial"/>
          <w:color w:val="000000" w:themeColor="text1"/>
          <w:lang w:val="en-US"/>
        </w:rPr>
        <w:t>):S</w:t>
      </w:r>
      <w:proofErr w:type="gramEnd"/>
      <w:r w:rsidRPr="00115AB0">
        <w:rPr>
          <w:rFonts w:ascii="Arial" w:hAnsi="Arial" w:cs="Arial"/>
          <w:color w:val="000000" w:themeColor="text1"/>
          <w:lang w:val="en-US"/>
        </w:rPr>
        <w:t>235-43.</w:t>
      </w: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</w:t>
      </w:r>
    </w:p>
    <w:p w14:paraId="13B4A769" w14:textId="77777777" w:rsidR="00263170" w:rsidRPr="007C5B67" w:rsidRDefault="0026317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</w:rPr>
      </w:pPr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lastRenderedPageBreak/>
        <w:t xml:space="preserve">Erkan S, </w:t>
      </w:r>
      <w:proofErr w:type="spell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Cetinarslan</w:t>
      </w:r>
      <w:proofErr w:type="spell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O, </w:t>
      </w:r>
      <w:proofErr w:type="spell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Okcu</w:t>
      </w:r>
      <w:proofErr w:type="spell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G. Traumatic spinopelvic dissociation managed with bilateral triangular osteosynthesis: Functional and radiological outcomes, health related quality of life and complication rates. Injury. 2021 Jan;52(1):95-101</w:t>
      </w:r>
    </w:p>
    <w:p w14:paraId="3F1A192E" w14:textId="77777777" w:rsidR="00263170" w:rsidRPr="007C5B67" w:rsidRDefault="0026317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</w:rPr>
      </w:pPr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Lee HD, Jeon CH, Won SH, Chung NS. Global Sagittal Imbalance Due to Change in Pelvic Incidence After Traumatic Spinopelvic Dissociation. J </w:t>
      </w:r>
      <w:proofErr w:type="spell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Orthop</w:t>
      </w:r>
      <w:proofErr w:type="spell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Trauma. 2017 Jul;31(7</w:t>
      </w:r>
      <w:proofErr w:type="gramStart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):e</w:t>
      </w:r>
      <w:proofErr w:type="gramEnd"/>
      <w:r w:rsidRPr="007C5B67">
        <w:rPr>
          <w:rFonts w:ascii="Arial" w:hAnsi="Arial" w:cs="Arial"/>
          <w:color w:val="000000" w:themeColor="text1"/>
          <w:shd w:val="clear" w:color="auto" w:fill="FFFFFF"/>
          <w:lang w:val="en-US"/>
        </w:rPr>
        <w:t>195-e199.</w:t>
      </w:r>
    </w:p>
    <w:p w14:paraId="745EA605" w14:textId="23CE5EDD" w:rsidR="00115AB0" w:rsidRPr="00115AB0" w:rsidRDefault="00115AB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</w:rPr>
      </w:pP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Moshirfar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A, Rand FF,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Sponseller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PD,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Parazin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SJ, Khanna AJ,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Kebaish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KM, Stinson JT, Riley LH 3rd. Pelvic fixation in spine surgery. Historical overview, indications, biomechanical relevance, and current techniques. </w:t>
      </w:r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J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Bone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Joint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Surg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Am. 2005;87 (2):89-106.</w:t>
      </w:r>
    </w:p>
    <w:p w14:paraId="7C04DD38" w14:textId="604C2792" w:rsidR="00115AB0" w:rsidRPr="00115AB0" w:rsidRDefault="00115AB0" w:rsidP="002E05AE">
      <w:pPr>
        <w:pStyle w:val="PargrafodaLista"/>
        <w:numPr>
          <w:ilvl w:val="0"/>
          <w:numId w:val="4"/>
        </w:num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lang w:val="en-US" w:eastAsia="pt-BR"/>
        </w:rPr>
      </w:pPr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 xml:space="preserve">Kuklo TR, Bridwell KH, Lewis SJ, Baldus C, Blanke K, Iffrig TM, Lenke LG. Min- </w:t>
      </w:r>
      <w:proofErr w:type="spellStart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>imum</w:t>
      </w:r>
      <w:proofErr w:type="spellEnd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 xml:space="preserve"> 2-year analysis of sacropelvic fixation and L5-S1 fusion using S1 and iliac screws. Spine </w:t>
      </w:r>
      <w:proofErr w:type="gramStart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>2001;26:1976</w:t>
      </w:r>
      <w:proofErr w:type="gramEnd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 xml:space="preserve">-83. </w:t>
      </w:r>
    </w:p>
    <w:p w14:paraId="56A41963" w14:textId="71372860" w:rsidR="00963313" w:rsidRPr="00115AB0" w:rsidRDefault="00963313" w:rsidP="002E05AE">
      <w:pPr>
        <w:pStyle w:val="PargrafodaLista"/>
        <w:numPr>
          <w:ilvl w:val="0"/>
          <w:numId w:val="4"/>
        </w:numPr>
        <w:spacing w:line="480" w:lineRule="auto"/>
        <w:rPr>
          <w:rFonts w:ascii="Arial" w:eastAsia="Times New Roman" w:hAnsi="Arial" w:cs="Arial"/>
          <w:color w:val="000000" w:themeColor="text1"/>
          <w:lang w:val="en-US" w:eastAsia="pt-BR"/>
        </w:rPr>
      </w:pPr>
      <w:r w:rsidRPr="00115AB0">
        <w:rPr>
          <w:rFonts w:ascii="Arial" w:eastAsia="Times New Roman" w:hAnsi="Arial" w:cs="Arial"/>
          <w:color w:val="000000" w:themeColor="text1"/>
          <w:shd w:val="clear" w:color="auto" w:fill="FFFFFF"/>
          <w:lang w:val="en-US" w:eastAsia="pt-BR"/>
        </w:rPr>
        <w:t xml:space="preserve">Schildhauer TA, Josten C, Muhr G. Triangular osteosynthesis of vertically unstable sacrum fractures: a new concept allowing early weight-bearing. J </w:t>
      </w:r>
      <w:proofErr w:type="spellStart"/>
      <w:r w:rsidRPr="00115AB0">
        <w:rPr>
          <w:rFonts w:ascii="Arial" w:eastAsia="Times New Roman" w:hAnsi="Arial" w:cs="Arial"/>
          <w:color w:val="000000" w:themeColor="text1"/>
          <w:shd w:val="clear" w:color="auto" w:fill="FFFFFF"/>
          <w:lang w:val="en-US" w:eastAsia="pt-BR"/>
        </w:rPr>
        <w:t>Orthop</w:t>
      </w:r>
      <w:proofErr w:type="spellEnd"/>
      <w:r w:rsidRPr="00115AB0">
        <w:rPr>
          <w:rFonts w:ascii="Arial" w:eastAsia="Times New Roman" w:hAnsi="Arial" w:cs="Arial"/>
          <w:color w:val="000000" w:themeColor="text1"/>
          <w:shd w:val="clear" w:color="auto" w:fill="FFFFFF"/>
          <w:lang w:val="en-US" w:eastAsia="pt-BR"/>
        </w:rPr>
        <w:t xml:space="preserve"> Trauma. 1998 Jun-Jul;12(5):307-14</w:t>
      </w:r>
      <w:r w:rsidR="0001046F" w:rsidRPr="00115AB0">
        <w:rPr>
          <w:rFonts w:ascii="Arial" w:eastAsia="Times New Roman" w:hAnsi="Arial" w:cs="Arial"/>
          <w:color w:val="000000" w:themeColor="text1"/>
          <w:shd w:val="clear" w:color="auto" w:fill="FFFFFF"/>
          <w:lang w:val="en-US" w:eastAsia="pt-BR"/>
        </w:rPr>
        <w:t>.</w:t>
      </w:r>
    </w:p>
    <w:p w14:paraId="4863403B" w14:textId="4DEAA6E7" w:rsidR="00963313" w:rsidRPr="00115AB0" w:rsidRDefault="00963313" w:rsidP="002E05AE">
      <w:pPr>
        <w:pStyle w:val="NormalWeb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lang w:val="en-US"/>
        </w:rPr>
        <w:t xml:space="preserve">Schildhauer TA, Ledoux WR, Chapman JR, Henley MB, Tencer AF, Routt ML Jr. Triangular osteosynthesis and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iliosacral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screw fixation for unstable sacral fractures: a cadaveric and biomechanical evaluation under cyclic loads. J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Orthop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Trauma 2003;17(01):22–31</w:t>
      </w:r>
      <w:r w:rsidR="0001046F" w:rsidRPr="00115AB0">
        <w:rPr>
          <w:rFonts w:ascii="Arial" w:hAnsi="Arial" w:cs="Arial"/>
          <w:color w:val="000000" w:themeColor="text1"/>
          <w:lang w:val="en-US"/>
        </w:rPr>
        <w:t>.</w:t>
      </w:r>
    </w:p>
    <w:p w14:paraId="73EC24D7" w14:textId="77777777" w:rsidR="00263170" w:rsidRPr="00115AB0" w:rsidRDefault="00263170" w:rsidP="002E05AE">
      <w:pPr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Denis F, Davis S,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Confort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T. Sacral fractures: an important problem. Retrospective analysis of 236 cases. Clin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Orthop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Relat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Res </w:t>
      </w:r>
      <w:proofErr w:type="gram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1988;227:67</w:t>
      </w:r>
      <w:proofErr w:type="gram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-81.</w:t>
      </w:r>
    </w:p>
    <w:p w14:paraId="660C18E1" w14:textId="77777777" w:rsidR="00263170" w:rsidRPr="00115AB0" w:rsidRDefault="00263170" w:rsidP="002E05AE">
      <w:pPr>
        <w:pStyle w:val="NormalWeb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lang w:val="en-US"/>
        </w:rPr>
        <w:lastRenderedPageBreak/>
        <w:t xml:space="preserve">El Masry WS, Tsubo M,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Katoh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S, El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Miligui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YHS, Khan A. Validation of the American Spinal Injury Association (ASIA) Motor Score and the National Acute Spinal Cord Injury Study (NASCIS) Motor Score. Spine 1996; 21:614-19.</w:t>
      </w:r>
    </w:p>
    <w:p w14:paraId="5A9C5AFF" w14:textId="77777777" w:rsidR="00263170" w:rsidRPr="00115AB0" w:rsidRDefault="00263170" w:rsidP="002E05AE">
      <w:pPr>
        <w:pStyle w:val="PargrafodaLista"/>
        <w:numPr>
          <w:ilvl w:val="0"/>
          <w:numId w:val="4"/>
        </w:num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lang w:val="en-US" w:eastAsia="pt-BR"/>
        </w:rPr>
      </w:pPr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 xml:space="preserve">Gibbons KJ, </w:t>
      </w:r>
      <w:proofErr w:type="spellStart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>Soloniuk</w:t>
      </w:r>
      <w:proofErr w:type="spellEnd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 xml:space="preserve"> DS, Razack N. Neurological injury and patterns of sacral fractures. J </w:t>
      </w:r>
      <w:proofErr w:type="spellStart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>Neurosurg</w:t>
      </w:r>
      <w:proofErr w:type="spellEnd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 xml:space="preserve"> </w:t>
      </w:r>
      <w:proofErr w:type="gramStart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>1990;72:889</w:t>
      </w:r>
      <w:proofErr w:type="gramEnd"/>
      <w:r w:rsidRPr="00115AB0">
        <w:rPr>
          <w:rFonts w:ascii="Arial" w:eastAsia="Times New Roman" w:hAnsi="Arial" w:cs="Arial"/>
          <w:color w:val="000000" w:themeColor="text1"/>
          <w:lang w:val="en-US" w:eastAsia="pt-BR"/>
        </w:rPr>
        <w:t>–893.</w:t>
      </w:r>
    </w:p>
    <w:p w14:paraId="4B1B0A2A" w14:textId="77777777" w:rsidR="00263170" w:rsidRPr="00115AB0" w:rsidRDefault="00263170" w:rsidP="002E05AE">
      <w:pPr>
        <w:pStyle w:val="PargrafodaLista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Okuda A,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Maegawa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N,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Matsumori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H, Kura T, Mizutani Y,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Shigematsu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H, et </w:t>
      </w:r>
      <w:proofErr w:type="gramStart"/>
      <w:r w:rsidRPr="00115AB0">
        <w:rPr>
          <w:rFonts w:ascii="Arial" w:hAnsi="Arial" w:cs="Arial"/>
          <w:color w:val="000000" w:themeColor="text1"/>
          <w:shd w:val="clear" w:color="auto" w:fill="FFFFFF"/>
        </w:rPr>
        <w:t>al..</w:t>
      </w:r>
      <w:proofErr w:type="gramEnd"/>
      <w:r w:rsidRPr="00115AB0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Minimally invasive spinopelvic "crab-shaped fixation" for unstable pelvic ring fractures: technical note and 16 case series. J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Orthop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Surg Res 2019;14(1):51</w:t>
      </w:r>
    </w:p>
    <w:p w14:paraId="1927DD50" w14:textId="77777777" w:rsidR="007C5B67" w:rsidRPr="00115AB0" w:rsidRDefault="007C5B67" w:rsidP="002E05AE">
      <w:pPr>
        <w:pStyle w:val="NormalWeb"/>
        <w:numPr>
          <w:ilvl w:val="0"/>
          <w:numId w:val="4"/>
        </w:num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Schilhauer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TA,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Bellabarba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C, Nork SE,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Barei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DP, Chip Routt MLJ, Chapman JR.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Descompression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and Lumbopelvic Fixation for Sacral Fracture-Dislocation with Spinopelvic Dissociation. J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Orthop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 Trauma 2006; 20(7):447-57.</w:t>
      </w:r>
    </w:p>
    <w:p w14:paraId="31FC0EC9" w14:textId="77777777" w:rsidR="007C5B67" w:rsidRPr="00115AB0" w:rsidRDefault="007C5B67" w:rsidP="002E05AE">
      <w:pPr>
        <w:pStyle w:val="NormalWeb"/>
        <w:numPr>
          <w:ilvl w:val="0"/>
          <w:numId w:val="4"/>
        </w:num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Yi C,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>Hak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DJ. Traumatic spinopelvic dissociation or U-shaped sacral fracture: a review of the literature. </w:t>
      </w:r>
      <w:proofErr w:type="spellStart"/>
      <w:r w:rsidRPr="00115AB0">
        <w:rPr>
          <w:rFonts w:ascii="Arial" w:hAnsi="Arial" w:cs="Arial"/>
          <w:color w:val="000000" w:themeColor="text1"/>
          <w:shd w:val="clear" w:color="auto" w:fill="FFFFFF"/>
        </w:rPr>
        <w:t>Injury</w:t>
      </w:r>
      <w:proofErr w:type="spellEnd"/>
      <w:r w:rsidRPr="00115AB0">
        <w:rPr>
          <w:rFonts w:ascii="Arial" w:hAnsi="Arial" w:cs="Arial"/>
          <w:color w:val="000000" w:themeColor="text1"/>
          <w:shd w:val="clear" w:color="auto" w:fill="FFFFFF"/>
        </w:rPr>
        <w:t>. 2012 Apr;43(4):402-8</w:t>
      </w:r>
    </w:p>
    <w:p w14:paraId="1E6D06E9" w14:textId="77777777" w:rsidR="007C5B67" w:rsidRDefault="007C5B67" w:rsidP="002E05AE">
      <w:pPr>
        <w:pStyle w:val="NormalWeb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</w:rPr>
      </w:pPr>
      <w:r w:rsidRPr="00115AB0">
        <w:rPr>
          <w:rFonts w:ascii="Arial" w:hAnsi="Arial" w:cs="Arial"/>
          <w:color w:val="000000" w:themeColor="text1"/>
          <w:lang w:val="en-US"/>
        </w:rPr>
        <w:t xml:space="preserve">Bellabarba C, Schildhauer TA, Vaccaro AR, Chapman JR. Complications associated with surgical stabilization of high-grade sacral fracture dislocations with </w:t>
      </w:r>
      <w:proofErr w:type="spellStart"/>
      <w:r w:rsidRPr="00115AB0">
        <w:rPr>
          <w:rFonts w:ascii="Arial" w:hAnsi="Arial" w:cs="Arial"/>
          <w:color w:val="000000" w:themeColor="text1"/>
          <w:lang w:val="en-US"/>
        </w:rPr>
        <w:t>spino</w:t>
      </w:r>
      <w:proofErr w:type="spellEnd"/>
      <w:r w:rsidRPr="00115AB0">
        <w:rPr>
          <w:rFonts w:ascii="Arial" w:hAnsi="Arial" w:cs="Arial"/>
          <w:color w:val="000000" w:themeColor="text1"/>
          <w:lang w:val="en-US"/>
        </w:rPr>
        <w:t xml:space="preserve">-pelvic instability. </w:t>
      </w:r>
      <w:proofErr w:type="spellStart"/>
      <w:r w:rsidRPr="00115AB0">
        <w:rPr>
          <w:rFonts w:ascii="Arial" w:hAnsi="Arial" w:cs="Arial"/>
          <w:color w:val="000000" w:themeColor="text1"/>
        </w:rPr>
        <w:t>Spine</w:t>
      </w:r>
      <w:proofErr w:type="spellEnd"/>
      <w:r w:rsidRPr="00115AB0">
        <w:rPr>
          <w:rFonts w:ascii="Arial" w:hAnsi="Arial" w:cs="Arial"/>
          <w:color w:val="000000" w:themeColor="text1"/>
        </w:rPr>
        <w:t xml:space="preserve"> 2006;31:S80–8. </w:t>
      </w:r>
    </w:p>
    <w:p w14:paraId="66E375FE" w14:textId="77777777" w:rsidR="006A2BD1" w:rsidRDefault="006A2BD1" w:rsidP="002E05AE">
      <w:pPr>
        <w:pStyle w:val="NormalWeb"/>
        <w:spacing w:line="480" w:lineRule="auto"/>
        <w:rPr>
          <w:color w:val="FF0000"/>
          <w:lang w:val="en-US"/>
        </w:rPr>
      </w:pPr>
    </w:p>
    <w:p w14:paraId="445CA279" w14:textId="77777777" w:rsidR="00393251" w:rsidRDefault="00393251" w:rsidP="002E05AE">
      <w:pPr>
        <w:pStyle w:val="NormalWeb"/>
        <w:spacing w:line="480" w:lineRule="auto"/>
        <w:rPr>
          <w:color w:val="FF0000"/>
          <w:lang w:val="en-US"/>
        </w:rPr>
      </w:pPr>
    </w:p>
    <w:p w14:paraId="30D1E72E" w14:textId="77777777" w:rsidR="00393251" w:rsidRPr="003C3AC1" w:rsidRDefault="00393251" w:rsidP="002E05AE">
      <w:pPr>
        <w:pStyle w:val="NormalWeb"/>
        <w:spacing w:line="480" w:lineRule="auto"/>
        <w:rPr>
          <w:color w:val="FF0000"/>
          <w:lang w:val="en-US"/>
        </w:rPr>
      </w:pPr>
    </w:p>
    <w:p w14:paraId="4641F7FA" w14:textId="3137FC5A" w:rsidR="003C3AC1" w:rsidRPr="003C3AC1" w:rsidRDefault="003C3AC1" w:rsidP="002E05AE">
      <w:pPr>
        <w:pStyle w:val="NormalWeb"/>
        <w:spacing w:line="480" w:lineRule="auto"/>
        <w:ind w:left="720"/>
        <w:rPr>
          <w:rFonts w:ascii="Arial" w:hAnsi="Arial" w:cs="Arial"/>
          <w:color w:val="000000" w:themeColor="text1"/>
          <w:lang w:val="en-US"/>
        </w:rPr>
      </w:pPr>
    </w:p>
    <w:p w14:paraId="41EBCEEB" w14:textId="5533CDE1" w:rsidR="00EE1CCA" w:rsidRDefault="00EE1CCA" w:rsidP="002E05AE">
      <w:pPr>
        <w:spacing w:line="480" w:lineRule="auto"/>
        <w:jc w:val="both"/>
        <w:rPr>
          <w:lang w:val="en-US"/>
        </w:rPr>
      </w:pPr>
    </w:p>
    <w:p w14:paraId="3F6E197D" w14:textId="7DD4A7B3" w:rsidR="00B65133" w:rsidRDefault="00B65133" w:rsidP="002E05AE">
      <w:pPr>
        <w:spacing w:line="480" w:lineRule="auto"/>
        <w:jc w:val="both"/>
        <w:rPr>
          <w:lang w:val="en-US"/>
        </w:rPr>
      </w:pPr>
    </w:p>
    <w:p w14:paraId="62326F51" w14:textId="36C09972" w:rsidR="00B65133" w:rsidRDefault="00B65133" w:rsidP="002E05AE">
      <w:pPr>
        <w:spacing w:line="480" w:lineRule="auto"/>
        <w:jc w:val="both"/>
        <w:rPr>
          <w:lang w:val="en-US"/>
        </w:rPr>
      </w:pPr>
    </w:p>
    <w:p w14:paraId="15CB8B73" w14:textId="3CB18542" w:rsidR="00115AB0" w:rsidRDefault="00115AB0" w:rsidP="002E05AE">
      <w:pPr>
        <w:spacing w:line="480" w:lineRule="auto"/>
        <w:jc w:val="both"/>
        <w:rPr>
          <w:lang w:val="en-US"/>
        </w:rPr>
      </w:pPr>
    </w:p>
    <w:p w14:paraId="0151FD96" w14:textId="417A1758" w:rsidR="00115AB0" w:rsidRDefault="00115AB0" w:rsidP="002E05AE">
      <w:pPr>
        <w:spacing w:line="480" w:lineRule="auto"/>
        <w:jc w:val="both"/>
        <w:rPr>
          <w:lang w:val="en-US"/>
        </w:rPr>
      </w:pPr>
    </w:p>
    <w:p w14:paraId="03DE5920" w14:textId="77777777" w:rsidR="00115AB0" w:rsidRPr="003C3AC1" w:rsidRDefault="00115AB0" w:rsidP="002E05AE">
      <w:pPr>
        <w:spacing w:line="480" w:lineRule="auto"/>
        <w:jc w:val="both"/>
        <w:rPr>
          <w:lang w:val="en-US"/>
        </w:rPr>
      </w:pPr>
    </w:p>
    <w:p w14:paraId="52F3E7F5" w14:textId="72167266" w:rsidR="00B65133" w:rsidRPr="003C3AC1" w:rsidRDefault="00B65133" w:rsidP="002E05AE">
      <w:pPr>
        <w:spacing w:line="480" w:lineRule="auto"/>
        <w:jc w:val="both"/>
        <w:rPr>
          <w:lang w:val="en-US"/>
        </w:rPr>
      </w:pPr>
    </w:p>
    <w:p w14:paraId="622FAF6F" w14:textId="5A6A233E" w:rsidR="00B65133" w:rsidRPr="003C3AC1" w:rsidRDefault="00B65133" w:rsidP="002E05AE">
      <w:pPr>
        <w:spacing w:line="480" w:lineRule="auto"/>
        <w:jc w:val="both"/>
        <w:rPr>
          <w:lang w:val="en-US"/>
        </w:rPr>
      </w:pPr>
    </w:p>
    <w:p w14:paraId="34D6ED45" w14:textId="3459518D" w:rsidR="00B65133" w:rsidRPr="003C3AC1" w:rsidRDefault="00B65133" w:rsidP="002E05AE">
      <w:pPr>
        <w:spacing w:line="480" w:lineRule="auto"/>
        <w:jc w:val="both"/>
        <w:rPr>
          <w:lang w:val="en-US"/>
        </w:rPr>
      </w:pPr>
    </w:p>
    <w:p w14:paraId="619A4DC3" w14:textId="77A60CE0" w:rsidR="00B65133" w:rsidRPr="003C3AC1" w:rsidRDefault="00B65133" w:rsidP="002E05AE">
      <w:pPr>
        <w:spacing w:line="480" w:lineRule="auto"/>
        <w:jc w:val="both"/>
        <w:rPr>
          <w:lang w:val="en-US"/>
        </w:rPr>
      </w:pPr>
    </w:p>
    <w:p w14:paraId="3848E1D0" w14:textId="5F0BCCE4" w:rsidR="00B65133" w:rsidRPr="003C3AC1" w:rsidRDefault="00B65133" w:rsidP="002E05AE">
      <w:pPr>
        <w:spacing w:line="480" w:lineRule="auto"/>
        <w:jc w:val="both"/>
        <w:rPr>
          <w:lang w:val="en-US"/>
        </w:rPr>
      </w:pPr>
    </w:p>
    <w:p w14:paraId="3FF49352" w14:textId="77777777" w:rsidR="00B65133" w:rsidRPr="003C3AC1" w:rsidRDefault="00B65133" w:rsidP="002E05AE">
      <w:pPr>
        <w:spacing w:line="480" w:lineRule="auto"/>
        <w:jc w:val="both"/>
        <w:rPr>
          <w:lang w:val="en-US"/>
        </w:rPr>
      </w:pPr>
    </w:p>
    <w:sectPr w:rsidR="00B65133" w:rsidRPr="003C3AC1" w:rsidSect="002E05AE">
      <w:pgSz w:w="11900" w:h="16840"/>
      <w:pgMar w:top="1701" w:right="1701" w:bottom="1701" w:left="1701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T31ea7dbe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06C3"/>
    <w:multiLevelType w:val="multilevel"/>
    <w:tmpl w:val="229AC382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974707"/>
    <w:multiLevelType w:val="multilevel"/>
    <w:tmpl w:val="1AFEE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033F5F"/>
    <w:multiLevelType w:val="hybridMultilevel"/>
    <w:tmpl w:val="6518C4DE"/>
    <w:lvl w:ilvl="0" w:tplc="BEE62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5613E"/>
    <w:multiLevelType w:val="hybridMultilevel"/>
    <w:tmpl w:val="B16873E4"/>
    <w:lvl w:ilvl="0" w:tplc="51A82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E6932"/>
    <w:multiLevelType w:val="multilevel"/>
    <w:tmpl w:val="C39A75F6"/>
    <w:lvl w:ilvl="0">
      <w:start w:val="2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9B1D0B"/>
    <w:multiLevelType w:val="multilevel"/>
    <w:tmpl w:val="D372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F77306"/>
    <w:multiLevelType w:val="multilevel"/>
    <w:tmpl w:val="048E3D70"/>
    <w:lvl w:ilvl="0">
      <w:start w:val="5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D7D"/>
    <w:rsid w:val="00000990"/>
    <w:rsid w:val="000024E2"/>
    <w:rsid w:val="0001046F"/>
    <w:rsid w:val="000262B6"/>
    <w:rsid w:val="00057BAC"/>
    <w:rsid w:val="000673CF"/>
    <w:rsid w:val="000826DF"/>
    <w:rsid w:val="0008693B"/>
    <w:rsid w:val="00091964"/>
    <w:rsid w:val="000A414A"/>
    <w:rsid w:val="000B1A82"/>
    <w:rsid w:val="000C3E0F"/>
    <w:rsid w:val="000C4C60"/>
    <w:rsid w:val="000D01D4"/>
    <w:rsid w:val="000F11AA"/>
    <w:rsid w:val="000F332D"/>
    <w:rsid w:val="000F3574"/>
    <w:rsid w:val="00115AB0"/>
    <w:rsid w:val="0012362D"/>
    <w:rsid w:val="00145444"/>
    <w:rsid w:val="00146B87"/>
    <w:rsid w:val="00184399"/>
    <w:rsid w:val="00190801"/>
    <w:rsid w:val="0019114F"/>
    <w:rsid w:val="001A772A"/>
    <w:rsid w:val="001B08DC"/>
    <w:rsid w:val="001D1C47"/>
    <w:rsid w:val="001E5910"/>
    <w:rsid w:val="00203F6D"/>
    <w:rsid w:val="00242FA0"/>
    <w:rsid w:val="0025376C"/>
    <w:rsid w:val="00255D92"/>
    <w:rsid w:val="00263170"/>
    <w:rsid w:val="00263EE0"/>
    <w:rsid w:val="0027048F"/>
    <w:rsid w:val="00287F7B"/>
    <w:rsid w:val="00291E6F"/>
    <w:rsid w:val="002C1BE3"/>
    <w:rsid w:val="002E05AE"/>
    <w:rsid w:val="002E0A84"/>
    <w:rsid w:val="00301D1D"/>
    <w:rsid w:val="00304427"/>
    <w:rsid w:val="00304434"/>
    <w:rsid w:val="00313868"/>
    <w:rsid w:val="0032209A"/>
    <w:rsid w:val="0032500C"/>
    <w:rsid w:val="003549DE"/>
    <w:rsid w:val="0036716A"/>
    <w:rsid w:val="0036783D"/>
    <w:rsid w:val="00375C4C"/>
    <w:rsid w:val="00383191"/>
    <w:rsid w:val="0038464A"/>
    <w:rsid w:val="00393251"/>
    <w:rsid w:val="003C2262"/>
    <w:rsid w:val="003C3AC1"/>
    <w:rsid w:val="003D2C14"/>
    <w:rsid w:val="003D2C21"/>
    <w:rsid w:val="003E12E5"/>
    <w:rsid w:val="003E470E"/>
    <w:rsid w:val="003E6D7D"/>
    <w:rsid w:val="00411242"/>
    <w:rsid w:val="0041329F"/>
    <w:rsid w:val="00424756"/>
    <w:rsid w:val="004252EE"/>
    <w:rsid w:val="0043494C"/>
    <w:rsid w:val="00435EB2"/>
    <w:rsid w:val="004403D1"/>
    <w:rsid w:val="00472CE5"/>
    <w:rsid w:val="004742CA"/>
    <w:rsid w:val="0047603D"/>
    <w:rsid w:val="0048246B"/>
    <w:rsid w:val="004A1111"/>
    <w:rsid w:val="004B1D26"/>
    <w:rsid w:val="004B534C"/>
    <w:rsid w:val="004B58B3"/>
    <w:rsid w:val="004B73E5"/>
    <w:rsid w:val="004C76F1"/>
    <w:rsid w:val="004E586C"/>
    <w:rsid w:val="004F08D9"/>
    <w:rsid w:val="005026B1"/>
    <w:rsid w:val="0051741F"/>
    <w:rsid w:val="00525F1D"/>
    <w:rsid w:val="00550149"/>
    <w:rsid w:val="00550AEA"/>
    <w:rsid w:val="00555A71"/>
    <w:rsid w:val="0055689D"/>
    <w:rsid w:val="0056792F"/>
    <w:rsid w:val="005745DC"/>
    <w:rsid w:val="00584D47"/>
    <w:rsid w:val="005878DC"/>
    <w:rsid w:val="005A09D3"/>
    <w:rsid w:val="005C07C6"/>
    <w:rsid w:val="005C3D0E"/>
    <w:rsid w:val="005C44D2"/>
    <w:rsid w:val="005C4B2B"/>
    <w:rsid w:val="005D0278"/>
    <w:rsid w:val="005E764E"/>
    <w:rsid w:val="00620FFC"/>
    <w:rsid w:val="00623F9F"/>
    <w:rsid w:val="006278B7"/>
    <w:rsid w:val="00646DD2"/>
    <w:rsid w:val="00661D7C"/>
    <w:rsid w:val="00664BB0"/>
    <w:rsid w:val="006672A5"/>
    <w:rsid w:val="0067206A"/>
    <w:rsid w:val="00685B72"/>
    <w:rsid w:val="00695902"/>
    <w:rsid w:val="006A2BD1"/>
    <w:rsid w:val="006A5F17"/>
    <w:rsid w:val="006C2086"/>
    <w:rsid w:val="006D664B"/>
    <w:rsid w:val="006F70CE"/>
    <w:rsid w:val="00706408"/>
    <w:rsid w:val="007127F0"/>
    <w:rsid w:val="00723B6A"/>
    <w:rsid w:val="00740F94"/>
    <w:rsid w:val="00777242"/>
    <w:rsid w:val="00787A99"/>
    <w:rsid w:val="007A62E1"/>
    <w:rsid w:val="007C5B67"/>
    <w:rsid w:val="007C6C75"/>
    <w:rsid w:val="007E6312"/>
    <w:rsid w:val="00811CC7"/>
    <w:rsid w:val="00814455"/>
    <w:rsid w:val="00816431"/>
    <w:rsid w:val="00843A57"/>
    <w:rsid w:val="00853357"/>
    <w:rsid w:val="00876F46"/>
    <w:rsid w:val="00882254"/>
    <w:rsid w:val="008A2BD1"/>
    <w:rsid w:val="008B1521"/>
    <w:rsid w:val="008B7A8C"/>
    <w:rsid w:val="008E3FFE"/>
    <w:rsid w:val="008F343E"/>
    <w:rsid w:val="008F4FB3"/>
    <w:rsid w:val="00900EA1"/>
    <w:rsid w:val="00915975"/>
    <w:rsid w:val="00923C23"/>
    <w:rsid w:val="0093096B"/>
    <w:rsid w:val="009344C7"/>
    <w:rsid w:val="00934F6F"/>
    <w:rsid w:val="009403B4"/>
    <w:rsid w:val="0095606B"/>
    <w:rsid w:val="00956260"/>
    <w:rsid w:val="00963313"/>
    <w:rsid w:val="00966F25"/>
    <w:rsid w:val="0096747D"/>
    <w:rsid w:val="009A5341"/>
    <w:rsid w:val="009C12A3"/>
    <w:rsid w:val="009D385E"/>
    <w:rsid w:val="009D486E"/>
    <w:rsid w:val="009E5E56"/>
    <w:rsid w:val="009F2C1F"/>
    <w:rsid w:val="00A06DF6"/>
    <w:rsid w:val="00A423A5"/>
    <w:rsid w:val="00A850E2"/>
    <w:rsid w:val="00A955C2"/>
    <w:rsid w:val="00AA5D04"/>
    <w:rsid w:val="00AB4D45"/>
    <w:rsid w:val="00AC626C"/>
    <w:rsid w:val="00AD061E"/>
    <w:rsid w:val="00AD7152"/>
    <w:rsid w:val="00B2305E"/>
    <w:rsid w:val="00B25369"/>
    <w:rsid w:val="00B330D5"/>
    <w:rsid w:val="00B43D98"/>
    <w:rsid w:val="00B52C67"/>
    <w:rsid w:val="00B57514"/>
    <w:rsid w:val="00B57987"/>
    <w:rsid w:val="00B60367"/>
    <w:rsid w:val="00B65133"/>
    <w:rsid w:val="00B66409"/>
    <w:rsid w:val="00B7464B"/>
    <w:rsid w:val="00B81D06"/>
    <w:rsid w:val="00B849B3"/>
    <w:rsid w:val="00B91490"/>
    <w:rsid w:val="00B93F79"/>
    <w:rsid w:val="00B96DE7"/>
    <w:rsid w:val="00BB2232"/>
    <w:rsid w:val="00BB6663"/>
    <w:rsid w:val="00BD0239"/>
    <w:rsid w:val="00BF3EF2"/>
    <w:rsid w:val="00C450D2"/>
    <w:rsid w:val="00C539DF"/>
    <w:rsid w:val="00C55DE1"/>
    <w:rsid w:val="00C63F84"/>
    <w:rsid w:val="00C7280E"/>
    <w:rsid w:val="00C7296D"/>
    <w:rsid w:val="00C77FAC"/>
    <w:rsid w:val="00CA54A3"/>
    <w:rsid w:val="00CB4E25"/>
    <w:rsid w:val="00CB5DD1"/>
    <w:rsid w:val="00CC3354"/>
    <w:rsid w:val="00CC4937"/>
    <w:rsid w:val="00CD1A21"/>
    <w:rsid w:val="00D11378"/>
    <w:rsid w:val="00D27A74"/>
    <w:rsid w:val="00D57C97"/>
    <w:rsid w:val="00D87F77"/>
    <w:rsid w:val="00D90D91"/>
    <w:rsid w:val="00D91D30"/>
    <w:rsid w:val="00DA352C"/>
    <w:rsid w:val="00DB7E38"/>
    <w:rsid w:val="00DC4835"/>
    <w:rsid w:val="00DD319B"/>
    <w:rsid w:val="00DE7778"/>
    <w:rsid w:val="00E01AF5"/>
    <w:rsid w:val="00E1463F"/>
    <w:rsid w:val="00E42334"/>
    <w:rsid w:val="00E5526E"/>
    <w:rsid w:val="00E744FC"/>
    <w:rsid w:val="00E75BDB"/>
    <w:rsid w:val="00E9021E"/>
    <w:rsid w:val="00EA370C"/>
    <w:rsid w:val="00EB7B82"/>
    <w:rsid w:val="00EC2BA6"/>
    <w:rsid w:val="00EE1CCA"/>
    <w:rsid w:val="00EE4803"/>
    <w:rsid w:val="00EE701C"/>
    <w:rsid w:val="00EF46FB"/>
    <w:rsid w:val="00F21901"/>
    <w:rsid w:val="00F338BA"/>
    <w:rsid w:val="00F33C09"/>
    <w:rsid w:val="00F4744D"/>
    <w:rsid w:val="00F51956"/>
    <w:rsid w:val="00F658F9"/>
    <w:rsid w:val="00F70463"/>
    <w:rsid w:val="00F70EA8"/>
    <w:rsid w:val="00F73850"/>
    <w:rsid w:val="00F7574E"/>
    <w:rsid w:val="00FC1291"/>
    <w:rsid w:val="00FD312B"/>
    <w:rsid w:val="00FF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58BA"/>
  <w14:defaultImageDpi w14:val="32767"/>
  <w15:docId w15:val="{952B6AA8-DC8C-3D47-BF51-112F1C9E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AB0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09D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1A772A"/>
  </w:style>
  <w:style w:type="paragraph" w:styleId="Bibliografia">
    <w:name w:val="Bibliography"/>
    <w:basedOn w:val="Normal"/>
    <w:next w:val="Normal"/>
    <w:uiPriority w:val="70"/>
    <w:rsid w:val="001A772A"/>
  </w:style>
  <w:style w:type="paragraph" w:styleId="PargrafodaLista">
    <w:name w:val="List Paragraph"/>
    <w:basedOn w:val="Normal"/>
    <w:uiPriority w:val="34"/>
    <w:qFormat/>
    <w:rsid w:val="001A772A"/>
    <w:pPr>
      <w:ind w:left="720"/>
      <w:contextualSpacing/>
    </w:pPr>
    <w:rPr>
      <w:rFonts w:ascii="Calibri" w:eastAsia="Calibri" w:hAnsi="Calibri"/>
      <w:lang w:eastAsia="en-US"/>
    </w:rPr>
  </w:style>
  <w:style w:type="character" w:customStyle="1" w:styleId="jlqj4b">
    <w:name w:val="jlqj4b"/>
    <w:basedOn w:val="Fontepargpadro"/>
    <w:rsid w:val="00900EA1"/>
  </w:style>
  <w:style w:type="character" w:customStyle="1" w:styleId="article-title">
    <w:name w:val="article-title"/>
    <w:basedOn w:val="Fontepargpadro"/>
    <w:rsid w:val="008B1521"/>
  </w:style>
  <w:style w:type="paragraph" w:styleId="Textodebalo">
    <w:name w:val="Balloon Text"/>
    <w:basedOn w:val="Normal"/>
    <w:link w:val="TextodebaloChar"/>
    <w:uiPriority w:val="99"/>
    <w:semiHidden/>
    <w:unhideWhenUsed/>
    <w:rsid w:val="003D2C21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C21"/>
    <w:rPr>
      <w:rFonts w:ascii="Times New Roman" w:eastAsia="Times New Roman" w:hAnsi="Times New Roman" w:cs="Times New Roman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2E0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3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4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4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9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7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0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6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4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1BFA4-ED5B-4FA6-A5E4-68333DCB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21</Pages>
  <Words>4187</Words>
  <Characters>22614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Felippe Mokdeci</dc:creator>
  <cp:lastModifiedBy>Luiz Felippe Mokdeci</cp:lastModifiedBy>
  <cp:revision>10</cp:revision>
  <cp:lastPrinted>2021-02-04T15:07:00Z</cp:lastPrinted>
  <dcterms:created xsi:type="dcterms:W3CDTF">2022-02-18T15:50:00Z</dcterms:created>
  <dcterms:modified xsi:type="dcterms:W3CDTF">2022-02-21T02:59:00Z</dcterms:modified>
</cp:coreProperties>
</file>