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B5FC2" w14:textId="6463FB42" w:rsidR="00D92BD5" w:rsidRPr="000603DF" w:rsidRDefault="00D92BD5" w:rsidP="00D92BD5">
      <w:pPr>
        <w:spacing w:after="0" w:line="480" w:lineRule="auto"/>
        <w:rPr>
          <w:rFonts w:ascii="Times New Roman" w:hAnsi="Times New Roman"/>
          <w:sz w:val="24"/>
          <w:szCs w:val="24"/>
          <w:vertAlign w:val="superscript"/>
        </w:rPr>
      </w:pPr>
      <w:r w:rsidRPr="000603DF">
        <w:rPr>
          <w:rFonts w:ascii="Times New Roman" w:hAnsi="Times New Roman"/>
          <w:b/>
          <w:bCs/>
          <w:sz w:val="24"/>
          <w:szCs w:val="24"/>
        </w:rPr>
        <w:t xml:space="preserve">Tabela </w:t>
      </w:r>
      <w:r w:rsidRPr="000603DF">
        <w:rPr>
          <w:rFonts w:ascii="Times New Roman" w:hAnsi="Times New Roman"/>
          <w:b/>
          <w:bCs/>
          <w:i/>
          <w:iCs/>
          <w:sz w:val="24"/>
          <w:szCs w:val="24"/>
        </w:rPr>
        <w:fldChar w:fldCharType="begin"/>
      </w:r>
      <w:r w:rsidRPr="000603DF">
        <w:rPr>
          <w:rFonts w:ascii="Times New Roman" w:hAnsi="Times New Roman"/>
          <w:b/>
          <w:bCs/>
          <w:sz w:val="24"/>
          <w:szCs w:val="24"/>
        </w:rPr>
        <w:instrText xml:space="preserve"> SEQ Tabela \* ARABIC </w:instrText>
      </w:r>
      <w:r w:rsidRPr="000603DF">
        <w:rPr>
          <w:rFonts w:ascii="Times New Roman" w:hAnsi="Times New Roman"/>
          <w:b/>
          <w:bCs/>
          <w:i/>
          <w:iCs/>
          <w:sz w:val="24"/>
          <w:szCs w:val="24"/>
        </w:rPr>
        <w:fldChar w:fldCharType="separate"/>
      </w:r>
      <w:r>
        <w:rPr>
          <w:rFonts w:ascii="Times New Roman" w:hAnsi="Times New Roman"/>
          <w:b/>
          <w:bCs/>
          <w:noProof/>
          <w:sz w:val="24"/>
          <w:szCs w:val="24"/>
        </w:rPr>
        <w:t>1</w:t>
      </w:r>
      <w:r w:rsidRPr="000603DF">
        <w:rPr>
          <w:rFonts w:ascii="Times New Roman" w:hAnsi="Times New Roman"/>
          <w:b/>
          <w:bCs/>
          <w:i/>
          <w:iCs/>
          <w:sz w:val="24"/>
          <w:szCs w:val="24"/>
        </w:rPr>
        <w:fldChar w:fldCharType="end"/>
      </w:r>
      <w:r w:rsidRPr="000603DF">
        <w:rPr>
          <w:rFonts w:ascii="Times New Roman" w:hAnsi="Times New Roman"/>
          <w:b/>
          <w:bCs/>
          <w:sz w:val="24"/>
          <w:szCs w:val="24"/>
        </w:rPr>
        <w:t xml:space="preserve"> - Características dos estudos randomizados e estudos observacionais</w:t>
      </w:r>
    </w:p>
    <w:tbl>
      <w:tblPr>
        <w:tblW w:w="86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7"/>
        <w:gridCol w:w="1193"/>
        <w:gridCol w:w="1821"/>
        <w:gridCol w:w="2100"/>
        <w:gridCol w:w="1676"/>
      </w:tblGrid>
      <w:tr w:rsidR="00D92BD5" w:rsidRPr="000603DF" w14:paraId="22EE43D5" w14:textId="77777777" w:rsidTr="004C68FB">
        <w:trPr>
          <w:trHeight w:val="188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285875E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Estudo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7A6FE95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Número de pacientes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C81875F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Local do tratamento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0334145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Resultados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95BD45A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Desenho do Estudo</w:t>
            </w:r>
          </w:p>
        </w:tc>
      </w:tr>
      <w:tr w:rsidR="00D92BD5" w:rsidRPr="000603DF" w14:paraId="348D2AB7" w14:textId="77777777" w:rsidTr="004C68FB">
        <w:trPr>
          <w:trHeight w:val="188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9AD12A1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CHANG </w:t>
            </w:r>
            <w:r w:rsidRPr="000603D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  <w:t>ET AL.</w:t>
            </w: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2018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FB07291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F281AD6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Espaço intra-articular da articulação </w:t>
            </w:r>
            <w:proofErr w:type="spellStart"/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atlanto</w:t>
            </w:r>
            <w:proofErr w:type="spellEnd"/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occipital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09A6ED1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POSITIVO. As pontuações médias dos escores de dor em cada momento de avaliação foram significativamente reduzidas em comparação com aquelas antes do tratamento (p &lt;0,001)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F9A110E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Randomizado</w:t>
            </w:r>
          </w:p>
        </w:tc>
      </w:tr>
      <w:tr w:rsidR="00D92BD5" w:rsidRPr="000603DF" w14:paraId="2558CCA2" w14:textId="77777777" w:rsidTr="004C68FB">
        <w:trPr>
          <w:trHeight w:val="188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AC8626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COHEN </w:t>
            </w:r>
            <w:r w:rsidRPr="000603D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  <w:t>ET AL.</w:t>
            </w: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2015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A32736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81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24206D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GON e LON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FCDF53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POSITIVO. grupo PRF experimentou uma redução maior no escore de dor occipital, em 6 semanas (p &lt;0,001), que persistiu ao longo dos 6 meses de acompanhamento.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1031F1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Randomizado</w:t>
            </w:r>
          </w:p>
        </w:tc>
      </w:tr>
      <w:tr w:rsidR="00D92BD5" w:rsidRPr="000603DF" w14:paraId="0BEE0701" w14:textId="77777777" w:rsidTr="004C68FB">
        <w:trPr>
          <w:trHeight w:val="188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AAF33C6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HASPESLAGH </w:t>
            </w:r>
            <w:r w:rsidRPr="000603D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  <w:t>ET AL.</w:t>
            </w: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2006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0E62135E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30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38DA7DB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Articulação </w:t>
            </w:r>
            <w:proofErr w:type="spellStart"/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facetária</w:t>
            </w:r>
            <w:proofErr w:type="spellEnd"/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e quando necessário </w:t>
            </w:r>
            <w:r w:rsidRPr="000603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lesão </w:t>
            </w: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 raiz dorsal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4C6D6AED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NEGATIVO. A diferença da Escala Visual Analógica (EVA) entre os diferentes momentos em relação à EVA inicial mostrou uma melhora a cada momento do estudo em cada grupo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1CABF54B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Randomizado</w:t>
            </w:r>
          </w:p>
        </w:tc>
      </w:tr>
      <w:tr w:rsidR="00D92BD5" w:rsidRPr="000603DF" w14:paraId="36981F2E" w14:textId="77777777" w:rsidTr="004C68FB">
        <w:trPr>
          <w:trHeight w:val="188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8F7326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STOVNER, KOLSTAD, HELDE 2006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416514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12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CF75CE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Articulação </w:t>
            </w:r>
            <w:proofErr w:type="spellStart"/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facetária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E70287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NEGATIVO. No sexto mês e </w:t>
            </w:r>
            <w:r w:rsidRPr="000603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posteriormente </w:t>
            </w: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os dois grupos </w:t>
            </w: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parecem ser semelhantes. Mas no mês 24, o grupo controle foi melhor na maioria das variáveis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58D2B4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Randomizado</w:t>
            </w:r>
          </w:p>
        </w:tc>
      </w:tr>
      <w:tr w:rsidR="00D92BD5" w:rsidRPr="000603DF" w14:paraId="4C3336E5" w14:textId="77777777" w:rsidTr="004C68FB">
        <w:trPr>
          <w:trHeight w:val="188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04F0EEBF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YUECHENG </w:t>
            </w:r>
            <w:r w:rsidRPr="000603D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  <w:t>ET AL.</w:t>
            </w: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2015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A03D05B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40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F5D0B06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Ramos medial cervicais posteriores de C2-C3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F7CC875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POSITIVO. A EVA diferiu significativamente entre os grupos de tratamento e controle nos períodos de acompanhamento de 1 mês (p &lt; 0,001), 2 meses (p &lt; 0,001) e 6 meses (p &lt; 0,01).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1232444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Randomizado</w:t>
            </w:r>
          </w:p>
        </w:tc>
      </w:tr>
      <w:tr w:rsidR="00D92BD5" w:rsidRPr="000603DF" w14:paraId="0930E619" w14:textId="77777777" w:rsidTr="004C68FB">
        <w:trPr>
          <w:trHeight w:val="188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CDC223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CHANG 2017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9D9579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40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7C3E37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Articulação </w:t>
            </w:r>
            <w:proofErr w:type="spellStart"/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facetária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6B9619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POSITIVO. As pontuações no escore de dor para cada grupo foram significativamente diferentes ao longo do tempo (p &lt;0,001). Em ambos os grupos, as pontuações em um, 3 e 6 meses foram significativamente reduzidas quando comparadas às pontuações pré-tratamento (p &lt;0,001)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6A4047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Observacional</w:t>
            </w:r>
          </w:p>
        </w:tc>
      </w:tr>
      <w:tr w:rsidR="00D92BD5" w:rsidRPr="000603DF" w14:paraId="689B606B" w14:textId="77777777" w:rsidTr="004C68FB">
        <w:trPr>
          <w:trHeight w:val="188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33F7FBB0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CHOI 2012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4B7F6807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71C6AD41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GON e LON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DF19936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POSITIVO. Melhorias significativas na dor foram encontradas nos meses 1 a 6 em comparação com o período de bloqueio </w:t>
            </w:r>
            <w:proofErr w:type="spellStart"/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pré</w:t>
            </w:r>
            <w:proofErr w:type="spellEnd"/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-diagnóstico (p &lt;0,05).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88F9D88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Observacional</w:t>
            </w:r>
          </w:p>
        </w:tc>
      </w:tr>
      <w:tr w:rsidR="00D92BD5" w:rsidRPr="000603DF" w14:paraId="79A51C78" w14:textId="77777777" w:rsidTr="004C68FB">
        <w:trPr>
          <w:trHeight w:val="188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CEC5EF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CHUA 2012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8C2C3B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45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899512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Intra-articular via anterolateral C1-C2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28B1E0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POUCO CLARO. Os pacientes que responderam ao procedimento relataram menores escores de dor aos 2, 6 e 12 meses de acompanhamento em comparação com os não responsivos.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3CAC26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Observacional</w:t>
            </w:r>
          </w:p>
        </w:tc>
      </w:tr>
      <w:tr w:rsidR="00D92BD5" w:rsidRPr="000603DF" w14:paraId="0F6F9C94" w14:textId="77777777" w:rsidTr="004C68FB">
        <w:trPr>
          <w:trHeight w:val="188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4E4232BC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FENG 2019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CA13BF9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139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3086ABF4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Raiz dorsal de C2 e injeção epidural de corticosteroides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397F8A14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POSITIVO.  A probabilidade de sucesso do tratamento no grupo PRF+ESI foi maior do que no grupo ESI (mediana do alívio da dor: grupo ESI, 4 meses; grupo PRF+ESI, 8 meses) (p &lt; 0. 001).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CE10452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Observacional</w:t>
            </w:r>
          </w:p>
        </w:tc>
      </w:tr>
      <w:tr w:rsidR="00D92BD5" w:rsidRPr="000603DF" w14:paraId="6F507411" w14:textId="77777777" w:rsidTr="004C68FB">
        <w:trPr>
          <w:trHeight w:val="188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D684B3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HALIM 2020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ADA3F1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86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771105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Intra-articular via anterolateral C1-C2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D4B6B2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POSITIVO. A porcentagem de pacientes que tiveram ≥ 50% de alívio da dor em 2 meses, 6 meses e 1 ano foi de 50% (43/86), 50% (43/86) e 44,2% (38/86), respectivamente.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71A840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Observacional</w:t>
            </w:r>
          </w:p>
        </w:tc>
      </w:tr>
      <w:tr w:rsidR="00D92BD5" w:rsidRPr="000603DF" w14:paraId="7D8368B6" w14:textId="77777777" w:rsidTr="004C68FB">
        <w:trPr>
          <w:trHeight w:val="188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7C81A1B0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LI 2020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1424E456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6587368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Raiz dorsal de C2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A505783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POSITIVO. A EVA média foi significativamente diminuída em 1 semana, 1 mês, 3 meses e 6 meses em </w:t>
            </w: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comparação com a EVA do </w:t>
            </w:r>
            <w:proofErr w:type="spellStart"/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pré</w:t>
            </w:r>
            <w:proofErr w:type="spellEnd"/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-procedimento. Todos os valores de p foram &lt; 0,05.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73A2AA9" w14:textId="77777777" w:rsidR="00D92BD5" w:rsidRPr="000603DF" w:rsidRDefault="00D92BD5" w:rsidP="004C68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60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Observacional</w:t>
            </w:r>
          </w:p>
        </w:tc>
      </w:tr>
    </w:tbl>
    <w:p w14:paraId="35550DB9" w14:textId="77777777" w:rsidR="00D92BD5" w:rsidRDefault="00D92BD5" w:rsidP="00D92BD5">
      <w:pPr>
        <w:rPr>
          <w:rFonts w:ascii="Times New Roman" w:hAnsi="Times New Roman"/>
          <w:sz w:val="24"/>
          <w:szCs w:val="24"/>
        </w:rPr>
      </w:pPr>
      <w:r w:rsidRPr="000603DF">
        <w:rPr>
          <w:rFonts w:ascii="Times New Roman" w:hAnsi="Times New Roman"/>
          <w:sz w:val="24"/>
          <w:szCs w:val="24"/>
        </w:rPr>
        <w:t>Fonte: Dos autores</w:t>
      </w:r>
    </w:p>
    <w:p w14:paraId="0F59ED06" w14:textId="77777777" w:rsidR="00E15AF9" w:rsidRDefault="00D92BD5"/>
    <w:sectPr w:rsidR="00E15A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D5"/>
    <w:rsid w:val="00611587"/>
    <w:rsid w:val="007F4DEE"/>
    <w:rsid w:val="00D9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21FB"/>
  <w15:chartTrackingRefBased/>
  <w15:docId w15:val="{A5C09321-155E-4C32-8CDC-92CB5130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B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Rezende</dc:creator>
  <cp:keywords/>
  <dc:description/>
  <cp:lastModifiedBy>Daniel Rezende</cp:lastModifiedBy>
  <cp:revision>1</cp:revision>
  <dcterms:created xsi:type="dcterms:W3CDTF">2022-02-18T16:04:00Z</dcterms:created>
  <dcterms:modified xsi:type="dcterms:W3CDTF">2022-02-18T16:04:00Z</dcterms:modified>
</cp:coreProperties>
</file>