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after="160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>Avalia</w:t>
      </w:r>
      <w:r>
        <w:rPr>
          <w:sz w:val="40"/>
          <w:szCs w:val="40"/>
          <w:rtl w:val="0"/>
          <w:lang w:val="pt-PT"/>
        </w:rPr>
        <w:t>çã</w:t>
      </w:r>
      <w:r>
        <w:rPr>
          <w:sz w:val="40"/>
          <w:szCs w:val="40"/>
          <w:rtl w:val="0"/>
          <w:lang w:val="pt-PT"/>
        </w:rPr>
        <w:t>o intra e interobservador da mensura</w:t>
      </w:r>
      <w:r>
        <w:rPr>
          <w:sz w:val="40"/>
          <w:szCs w:val="40"/>
          <w:rtl w:val="0"/>
          <w:lang w:val="pt-PT"/>
        </w:rPr>
        <w:t>çã</w:t>
      </w:r>
      <w:r>
        <w:rPr>
          <w:sz w:val="40"/>
          <w:szCs w:val="40"/>
          <w:rtl w:val="0"/>
          <w:lang w:val="pt-PT"/>
        </w:rPr>
        <w:t>o da cifose nas fraturas da coluna toracolombar</w:t>
      </w:r>
    </w:p>
    <w:p>
      <w:pPr>
        <w:pStyle w:val="Corpo A"/>
        <w:spacing w:after="160"/>
        <w:jc w:val="left"/>
        <w:rPr>
          <w:sz w:val="24"/>
          <w:szCs w:val="24"/>
        </w:rPr>
      </w:pPr>
    </w:p>
    <w:p>
      <w:pPr>
        <w:pStyle w:val="Corpo A"/>
        <w:spacing w:after="16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RESUMO</w:t>
      </w:r>
    </w:p>
    <w:p>
      <w:pPr>
        <w:pStyle w:val="Corpo A"/>
        <w:spacing w:after="1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OBJETIVOS</w:t>
      </w:r>
      <w:r>
        <w:rPr>
          <w:sz w:val="24"/>
          <w:szCs w:val="24"/>
          <w:rtl w:val="0"/>
          <w:lang w:val="pt-PT"/>
        </w:rPr>
        <w:t>: Avaliar a confiabilidade e reprodutibilidade da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do valor angular</w:t>
      </w:r>
      <w:r>
        <w:rPr>
          <w:sz w:val="24"/>
          <w:szCs w:val="24"/>
          <w:rtl w:val="0"/>
          <w:lang w:val="it-IT"/>
        </w:rPr>
        <w:t xml:space="preserve"> da </w:t>
      </w:r>
      <w:r>
        <w:rPr>
          <w:sz w:val="24"/>
          <w:szCs w:val="24"/>
          <w:rtl w:val="0"/>
          <w:lang w:val="pt-PT"/>
        </w:rPr>
        <w:t>deformidade em cifose nas fraturas traum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 xml:space="preserve">ticas </w:t>
      </w:r>
      <w:r>
        <w:rPr>
          <w:sz w:val="24"/>
          <w:szCs w:val="24"/>
          <w:rtl w:val="0"/>
          <w:lang w:val="it-IT"/>
        </w:rPr>
        <w:t>da coluna toracolombar</w:t>
      </w:r>
      <w:r>
        <w:rPr>
          <w:sz w:val="24"/>
          <w:szCs w:val="24"/>
          <w:rtl w:val="0"/>
          <w:lang w:val="pt-PT"/>
        </w:rPr>
        <w:t xml:space="preserve"> por diferentes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todos de avalia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nos diferentes tipos de fratura</w:t>
      </w:r>
      <w:r>
        <w:rPr>
          <w:sz w:val="24"/>
          <w:szCs w:val="24"/>
          <w:rtl w:val="0"/>
          <w:lang w:val="pt-PT"/>
        </w:rPr>
        <w:t>s</w:t>
      </w:r>
      <w:r>
        <w:rPr>
          <w:sz w:val="24"/>
          <w:szCs w:val="24"/>
          <w:rtl w:val="0"/>
          <w:lang w:val="pt-PT"/>
        </w:rPr>
        <w:t xml:space="preserve">. </w:t>
      </w:r>
      <w:r>
        <w:rPr>
          <w:b w:val="1"/>
          <w:bCs w:val="1"/>
          <w:sz w:val="24"/>
          <w:szCs w:val="24"/>
          <w:rtl w:val="0"/>
          <w:lang w:val="pt-PT"/>
        </w:rPr>
        <w:t>METODOLOGIA</w:t>
      </w:r>
      <w:r>
        <w:rPr>
          <w:sz w:val="24"/>
          <w:szCs w:val="24"/>
          <w:rtl w:val="0"/>
          <w:lang w:val="pt-PT"/>
        </w:rPr>
        <w:t>: Foram avaliadas 15 radiografias digitais de pacientes com fratura traum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tica de n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vel </w:t>
      </w:r>
      <w:r>
        <w:rPr>
          <w:sz w:val="24"/>
          <w:szCs w:val="24"/>
          <w:rtl w:val="0"/>
          <w:lang w:val="pt-PT"/>
        </w:rPr>
        <w:t>ú</w:t>
      </w:r>
      <w:r>
        <w:rPr>
          <w:sz w:val="24"/>
          <w:szCs w:val="24"/>
          <w:rtl w:val="0"/>
          <w:lang w:val="pt-PT"/>
        </w:rPr>
        <w:t xml:space="preserve">nico </w:t>
      </w:r>
      <w:r>
        <w:rPr>
          <w:sz w:val="24"/>
          <w:szCs w:val="24"/>
          <w:rtl w:val="0"/>
          <w:lang w:val="it-IT"/>
        </w:rPr>
        <w:t>na coluna toracolombar</w:t>
      </w:r>
      <w:r>
        <w:rPr>
          <w:sz w:val="24"/>
          <w:szCs w:val="24"/>
          <w:rtl w:val="0"/>
          <w:lang w:val="pt-PT"/>
        </w:rPr>
        <w:t xml:space="preserve"> previamente classificadas e subdivididas em tipo A, B e C de acordo com a classifica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Magerl, utilizando um sistema computadorizado de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o. Em cada caso, foi medido o valor da cifose atrav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s de </w:t>
      </w:r>
      <w:r>
        <w:rPr>
          <w:sz w:val="24"/>
          <w:szCs w:val="24"/>
          <w:rtl w:val="0"/>
          <w:lang w:val="pt-PT"/>
        </w:rPr>
        <w:t>cinco</w:t>
      </w:r>
      <w:r>
        <w:rPr>
          <w:sz w:val="24"/>
          <w:szCs w:val="24"/>
          <w:rtl w:val="0"/>
          <w:lang w:val="pt-PT"/>
        </w:rPr>
        <w:t xml:space="preserve"> diferentes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de grande relev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ncia na literatura, sendo eles: (1)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Cobb; (2)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de Gardner; (3)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 das paredes posteriores; (4)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ngulo das placas terminais adjacentes; e (5)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cunha. As mensura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 xml:space="preserve">es foram realizadas por </w:t>
      </w:r>
      <w:r>
        <w:rPr>
          <w:sz w:val="24"/>
          <w:szCs w:val="24"/>
          <w:rtl w:val="0"/>
          <w:lang w:val="pt-PT"/>
        </w:rPr>
        <w:t>cinco</w:t>
      </w:r>
      <w:r>
        <w:rPr>
          <w:sz w:val="24"/>
          <w:szCs w:val="24"/>
          <w:rtl w:val="0"/>
          <w:lang w:val="pt-PT"/>
        </w:rPr>
        <w:t xml:space="preserve"> avaliadores independentes com tempo de experi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 xml:space="preserve">ncia semelhante na 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 xml:space="preserve">rea da cirurgia da coluna e repetidas </w:t>
      </w:r>
      <w:r>
        <w:rPr>
          <w:sz w:val="24"/>
          <w:szCs w:val="24"/>
          <w:rtl w:val="0"/>
          <w:lang w:val="pt-PT"/>
        </w:rPr>
        <w:t>cinco</w:t>
      </w:r>
      <w:r>
        <w:rPr>
          <w:sz w:val="24"/>
          <w:szCs w:val="24"/>
          <w:rtl w:val="0"/>
          <w:lang w:val="pt-PT"/>
        </w:rPr>
        <w:t xml:space="preserve"> vezes com intervalo m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nimo de </w:t>
      </w:r>
      <w:r>
        <w:rPr>
          <w:sz w:val="24"/>
          <w:szCs w:val="24"/>
          <w:rtl w:val="0"/>
          <w:lang w:val="pt-PT"/>
        </w:rPr>
        <w:t>duas</w:t>
      </w:r>
      <w:r>
        <w:rPr>
          <w:sz w:val="24"/>
          <w:szCs w:val="24"/>
          <w:rtl w:val="0"/>
          <w:lang w:val="pt-PT"/>
        </w:rPr>
        <w:t xml:space="preserve"> semanas entre cada avalia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o. </w:t>
      </w:r>
      <w:r>
        <w:rPr>
          <w:b w:val="1"/>
          <w:bCs w:val="1"/>
          <w:sz w:val="24"/>
          <w:szCs w:val="24"/>
          <w:rtl w:val="0"/>
          <w:lang w:val="pt-PT"/>
        </w:rPr>
        <w:t>RESULTADOS</w:t>
      </w:r>
      <w:r>
        <w:rPr>
          <w:sz w:val="24"/>
          <w:szCs w:val="24"/>
          <w:rtl w:val="0"/>
          <w:lang w:val="pt-PT"/>
        </w:rPr>
        <w:t xml:space="preserve">: A confiabilidade intraobservador mostrou-se excelente entre os </w:t>
      </w:r>
      <w:r>
        <w:rPr>
          <w:sz w:val="24"/>
          <w:szCs w:val="24"/>
          <w:rtl w:val="0"/>
          <w:lang w:val="pt-PT"/>
        </w:rPr>
        <w:t>cinco</w:t>
      </w:r>
      <w:r>
        <w:rPr>
          <w:sz w:val="24"/>
          <w:szCs w:val="24"/>
          <w:rtl w:val="0"/>
          <w:lang w:val="pt-PT"/>
        </w:rPr>
        <w:t xml:space="preserve"> avaliadores, com coeficiente de correla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intraclasse (ICC) variando de 0,938 a 0,989, evidenciando boa reprodutibilidade dos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todos. Os cinco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utilizados tamb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m apresentaram grande confiabilidade intraobservador na an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lise global, sendo mais consistentes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1 (m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de Cobb) e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 4 </w:t>
      </w:r>
      <w:r>
        <w:rPr>
          <w:sz w:val="24"/>
          <w:szCs w:val="24"/>
          <w:rtl w:val="0"/>
          <w:lang w:val="pt-PT"/>
        </w:rPr>
        <w:t>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das placas terminais adjacentes</w:t>
      </w:r>
      <w:r>
        <w:rPr>
          <w:sz w:val="24"/>
          <w:szCs w:val="24"/>
          <w:rtl w:val="0"/>
          <w:lang w:val="it-IT"/>
        </w:rPr>
        <w:t>)</w:t>
      </w:r>
      <w:r>
        <w:rPr>
          <w:sz w:val="24"/>
          <w:szCs w:val="24"/>
          <w:rtl w:val="0"/>
          <w:lang w:val="pt-PT"/>
        </w:rPr>
        <w:t>, com semelhante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entre os dois (ICC 0,918). Considerando a an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lise interobservador dos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para cada tipo de fraturas isoladamente, identificamos que a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ncia </w:t>
      </w:r>
      <w:r>
        <w:rPr>
          <w:sz w:val="24"/>
          <w:szCs w:val="24"/>
          <w:rtl w:val="0"/>
          <w:lang w:val="pt-PT"/>
        </w:rPr>
        <w:t>com o</w:t>
      </w:r>
      <w:r>
        <w:rPr>
          <w:sz w:val="24"/>
          <w:szCs w:val="24"/>
          <w:rtl w:val="0"/>
          <w:lang w:val="pt-PT"/>
        </w:rPr>
        <w:t xml:space="preserve">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mais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 xml:space="preserve">vel variou, </w:t>
      </w:r>
      <w:r>
        <w:rPr>
          <w:sz w:val="24"/>
          <w:szCs w:val="24"/>
          <w:rtl w:val="0"/>
          <w:lang w:val="pt-PT"/>
        </w:rPr>
        <w:t>sendo</w:t>
      </w:r>
      <w:r>
        <w:rPr>
          <w:sz w:val="24"/>
          <w:szCs w:val="24"/>
          <w:rtl w:val="0"/>
          <w:lang w:val="pt-PT"/>
        </w:rPr>
        <w:t xml:space="preserve">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4 sendo o mais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vel para as fraturas do tipo A e C e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2 (m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de Gardner) o mais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vel para as fraturas do tipo B.</w:t>
      </w:r>
      <w:r>
        <w:rPr>
          <w:b w:val="1"/>
          <w:bCs w:val="1"/>
          <w:sz w:val="24"/>
          <w:szCs w:val="24"/>
          <w:rtl w:val="0"/>
          <w:lang w:val="pt-PT"/>
        </w:rPr>
        <w:t xml:space="preserve"> CONCLUS</w:t>
      </w:r>
      <w:r>
        <w:rPr>
          <w:b w:val="1"/>
          <w:bCs w:val="1"/>
          <w:sz w:val="24"/>
          <w:szCs w:val="24"/>
          <w:rtl w:val="0"/>
          <w:lang w:val="pt-PT"/>
        </w:rPr>
        <w:t>Ã</w:t>
      </w:r>
      <w:r>
        <w:rPr>
          <w:b w:val="1"/>
          <w:bCs w:val="1"/>
          <w:sz w:val="24"/>
          <w:szCs w:val="24"/>
          <w:rtl w:val="0"/>
          <w:lang w:val="pt-PT"/>
        </w:rPr>
        <w:t xml:space="preserve">O: </w:t>
      </w:r>
      <w:r>
        <w:rPr>
          <w:sz w:val="24"/>
          <w:szCs w:val="24"/>
          <w:rtl w:val="0"/>
          <w:lang w:val="pt-PT"/>
        </w:rPr>
        <w:t>Apesar de 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haver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universal em como medir a cifose nas fraturas toracolombares, nosso estudo concluiu que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1 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Cobb) e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4 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das placas terminais adjacentes) apresentaram as melhores confiabilidades interobservador</w:t>
      </w:r>
      <w:r>
        <w:rPr>
          <w:sz w:val="24"/>
          <w:szCs w:val="24"/>
          <w:rtl w:val="0"/>
          <w:lang w:val="pt-PT"/>
        </w:rPr>
        <w:t>es</w:t>
      </w:r>
      <w:r>
        <w:rPr>
          <w:sz w:val="24"/>
          <w:szCs w:val="24"/>
          <w:rtl w:val="0"/>
          <w:lang w:val="pt-PT"/>
        </w:rPr>
        <w:t>. Al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m disso, o uso de radiografias digitalizadas e um programa computadorizado simples permitiram a realiza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medidas altamente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veis e reprodut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veis por todos 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todos, visto pela elevada confiabilidade intraobservador. </w:t>
      </w:r>
    </w:p>
    <w:p>
      <w:pPr>
        <w:pStyle w:val="Corpo A"/>
        <w:spacing w:after="1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DESCRITORES</w:t>
      </w:r>
      <w:r>
        <w:rPr>
          <w:sz w:val="24"/>
          <w:szCs w:val="24"/>
          <w:rtl w:val="0"/>
          <w:lang w:val="pt-PT"/>
        </w:rPr>
        <w:t>: Fraturas da coluna vertebral; cifose; an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lise radiogr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 xml:space="preserve">fica. </w:t>
      </w:r>
    </w:p>
    <w:p>
      <w:pPr>
        <w:pStyle w:val="Corpo A"/>
        <w:spacing w:after="160"/>
        <w:rPr>
          <w:sz w:val="24"/>
          <w:szCs w:val="24"/>
        </w:rPr>
      </w:pPr>
    </w:p>
    <w:p>
      <w:pPr>
        <w:pStyle w:val="Corpo A"/>
        <w:spacing w:after="1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INTRODU</w:t>
      </w:r>
      <w:r>
        <w:rPr>
          <w:b w:val="1"/>
          <w:bCs w:val="1"/>
          <w:sz w:val="24"/>
          <w:szCs w:val="24"/>
          <w:rtl w:val="0"/>
          <w:lang w:val="pt-PT"/>
        </w:rPr>
        <w:t>ÇÃ</w:t>
      </w:r>
      <w:r>
        <w:rPr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Corpo A"/>
        <w:spacing w:after="16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ab/>
        <w:t>A indica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do tratamento das fraturas da coluna toracolombar tem sido baseada no tipo da fratura, presen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fr-FR"/>
        </w:rPr>
        <w:t>a de les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neurol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>gica, les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  <w:lang w:val="pt-PT"/>
        </w:rPr>
        <w:t>es associadas e na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it-IT"/>
        </w:rPr>
        <w:t>o da cifose da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rtebra ou do segmento vertebral fraturado.</w:t>
      </w:r>
      <w:r>
        <w:rPr>
          <w:sz w:val="24"/>
          <w:szCs w:val="24"/>
          <w:vertAlign w:val="superscript"/>
          <w:rtl w:val="0"/>
          <w:lang w:val="pt-PT"/>
        </w:rPr>
        <w:t>1</w:t>
      </w:r>
      <w:r>
        <w:rPr>
          <w:sz w:val="24"/>
          <w:szCs w:val="24"/>
          <w:rtl w:val="0"/>
          <w:lang w:val="pt-PT"/>
        </w:rPr>
        <w:t xml:space="preserve"> Muitos estudos consideram a cifose acima de 15-30 graus como par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metro para indica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do tratamento cir</w:t>
      </w:r>
      <w:r>
        <w:rPr>
          <w:sz w:val="24"/>
          <w:szCs w:val="24"/>
          <w:rtl w:val="0"/>
          <w:lang w:val="pt-PT"/>
        </w:rPr>
        <w:t>ú</w:t>
      </w:r>
      <w:r>
        <w:rPr>
          <w:sz w:val="24"/>
          <w:szCs w:val="24"/>
          <w:rtl w:val="0"/>
          <w:lang w:val="pt-PT"/>
        </w:rPr>
        <w:t>rgico, e a sua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 xml:space="preserve">comumente realizada utilizando </w:t>
      </w:r>
      <w:r>
        <w:rPr>
          <w:sz w:val="24"/>
          <w:szCs w:val="24"/>
          <w:rtl w:val="0"/>
          <w:lang w:val="fr-FR"/>
        </w:rPr>
        <w:t>radiografias simples</w:t>
      </w:r>
      <w:r>
        <w:rPr>
          <w:sz w:val="24"/>
          <w:szCs w:val="24"/>
          <w:rtl w:val="0"/>
          <w:lang w:val="fr-FR"/>
        </w:rPr>
        <w:t>.</w:t>
      </w:r>
      <w:r>
        <w:rPr>
          <w:sz w:val="24"/>
          <w:szCs w:val="24"/>
          <w:vertAlign w:val="superscript"/>
          <w:rtl w:val="0"/>
          <w:lang w:val="fr-FR"/>
        </w:rPr>
        <w:t>1,2,3,4,5,6,7</w:t>
      </w:r>
      <w:r>
        <w:rPr>
          <w:sz w:val="24"/>
          <w:szCs w:val="24"/>
          <w:rtl w:val="0"/>
          <w:lang w:val="pt-PT"/>
        </w:rPr>
        <w:t xml:space="preserve"> Apesar de ser considerado como um simples valor angular, 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es-ES_tradnl"/>
        </w:rPr>
        <w:t>o h</w:t>
      </w:r>
      <w:r>
        <w:rPr>
          <w:sz w:val="24"/>
          <w:szCs w:val="24"/>
          <w:rtl w:val="0"/>
          <w:lang w:val="pt-PT"/>
        </w:rPr>
        <w:t xml:space="preserve">á </w:t>
      </w:r>
      <w:r>
        <w:rPr>
          <w:sz w:val="24"/>
          <w:szCs w:val="24"/>
          <w:rtl w:val="0"/>
          <w:lang w:val="pt-PT"/>
        </w:rPr>
        <w:t xml:space="preserve">consenso universal em como medir este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ngulo. Alguns par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fr-FR"/>
        </w:rPr>
        <w:t>metros radiogr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ficos denotam fontes potenciais de variabilidade nas mensura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de radiografias em perfil, como a qualidade do exame, o tipo e a localiza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 fratura, e o centro radiogr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fico do feixe em rela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ao n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vel vertebral em quest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it-IT"/>
        </w:rPr>
        <w:t>o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vertAlign w:val="superscript"/>
          <w:rtl w:val="0"/>
          <w:lang w:val="it-IT"/>
        </w:rPr>
        <w:t>8</w:t>
      </w:r>
    </w:p>
    <w:p>
      <w:pPr>
        <w:pStyle w:val="Corpo A"/>
        <w:spacing w:after="160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Diferentes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todos foram propostos para 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 cifose do segmento vertebral fraturado</w:t>
      </w:r>
      <w:r>
        <w:rPr>
          <w:sz w:val="24"/>
          <w:szCs w:val="24"/>
          <w:rtl w:val="0"/>
          <w:lang w:val="pt-PT"/>
        </w:rPr>
        <w:t>.</w:t>
      </w:r>
      <w:r>
        <w:rPr>
          <w:sz w:val="24"/>
          <w:szCs w:val="24"/>
          <w:vertAlign w:val="superscript"/>
          <w:rtl w:val="0"/>
          <w:lang w:val="pt-PT"/>
        </w:rPr>
        <w:t>2,3,8,9,10,11</w:t>
      </w:r>
      <w:r>
        <w:rPr>
          <w:sz w:val="24"/>
          <w:szCs w:val="24"/>
          <w:vertAlign w:val="superscript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Em nosso estudo, os cinco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inclu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dos foram: (1)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entre a placa terminal superior da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 xml:space="preserve">rtebra 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ntegra proximal e a placa terminal inferior da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rtebra distal </w:t>
      </w:r>
      <w:r>
        <w:rPr>
          <w:sz w:val="24"/>
          <w:szCs w:val="24"/>
          <w:rtl w:val="0"/>
          <w:lang w:val="pt-PT"/>
        </w:rPr>
        <w:t xml:space="preserve">à </w:t>
      </w:r>
      <w:r>
        <w:rPr>
          <w:sz w:val="24"/>
          <w:szCs w:val="24"/>
          <w:rtl w:val="0"/>
          <w:lang w:val="pt-PT"/>
        </w:rPr>
        <w:t>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rtebra fraturada, ou '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ngulo de Cobb'; (2)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entre a placa terminal superior da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rtebra proximal e a placa terminal inferior da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rtebra fraturada, ou </w:t>
      </w:r>
      <w:r>
        <w:rPr>
          <w:sz w:val="24"/>
          <w:szCs w:val="24"/>
          <w:rtl w:val="0"/>
          <w:lang w:val="pt-PT"/>
        </w:rPr>
        <w:t>'</w:t>
      </w:r>
      <w:r>
        <w:rPr>
          <w:sz w:val="24"/>
          <w:szCs w:val="24"/>
          <w:rtl w:val="0"/>
          <w:lang w:val="pt-PT"/>
        </w:rPr>
        <w:t>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de Gardner'; (3) 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 das paredes posteriores, </w:t>
      </w:r>
      <w:r>
        <w:rPr>
          <w:i w:val="1"/>
          <w:iCs w:val="1"/>
          <w:sz w:val="24"/>
          <w:szCs w:val="24"/>
          <w:rtl w:val="0"/>
          <w:lang w:val="pt-PT"/>
        </w:rPr>
        <w:t>i.e.</w:t>
      </w:r>
      <w:r>
        <w:rPr>
          <w:sz w:val="24"/>
          <w:szCs w:val="24"/>
          <w:rtl w:val="0"/>
          <w:lang w:val="pt-PT"/>
        </w:rPr>
        <w:t xml:space="preserve">,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entre a parede posterior do corpo da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 xml:space="preserve">rtebra 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ntegra proximal e a parede posterior do corpo da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 xml:space="preserve">rtebra 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it-IT"/>
        </w:rPr>
        <w:t>ntegra distal</w:t>
      </w:r>
      <w:r>
        <w:rPr>
          <w:sz w:val="24"/>
          <w:szCs w:val="24"/>
          <w:rtl w:val="0"/>
          <w:lang w:val="pt-PT"/>
        </w:rPr>
        <w:t xml:space="preserve"> à </w:t>
      </w:r>
      <w:r>
        <w:rPr>
          <w:sz w:val="24"/>
          <w:szCs w:val="24"/>
          <w:rtl w:val="0"/>
          <w:lang w:val="pt-PT"/>
        </w:rPr>
        <w:t>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rtebra fraturada; (4)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ngulo das placas terminais adjacentes, que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 xml:space="preserve">o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entre a placa terminal inferior da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 xml:space="preserve">rtebra 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ntegra proximal </w:t>
      </w:r>
      <w:r>
        <w:rPr>
          <w:sz w:val="24"/>
          <w:szCs w:val="24"/>
          <w:rtl w:val="0"/>
          <w:lang w:val="pt-PT"/>
        </w:rPr>
        <w:t xml:space="preserve">à </w:t>
      </w:r>
      <w:r>
        <w:rPr>
          <w:sz w:val="24"/>
          <w:szCs w:val="24"/>
          <w:rtl w:val="0"/>
          <w:lang w:val="pt-PT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rtebra fraturada e a placa terminal superior da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 xml:space="preserve">rtebra 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ntegra distal, e (5)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cunha, formado pela placa terminal superior e inferior da 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rtebra fraturada (</w:t>
      </w:r>
      <w:r>
        <w:rPr>
          <w:b w:val="1"/>
          <w:bCs w:val="1"/>
          <w:sz w:val="24"/>
          <w:szCs w:val="24"/>
          <w:rtl w:val="0"/>
          <w:lang w:val="pt-PT"/>
        </w:rPr>
        <w:t>figura 1</w:t>
      </w:r>
      <w:r>
        <w:rPr>
          <w:sz w:val="24"/>
          <w:szCs w:val="24"/>
          <w:rtl w:val="0"/>
          <w:lang w:val="pt-PT"/>
        </w:rPr>
        <w:t xml:space="preserve">). </w:t>
      </w:r>
    </w:p>
    <w:p>
      <w:pPr>
        <w:pStyle w:val="Corpo A"/>
        <w:spacing w:after="160"/>
        <w:ind w:firstLine="708"/>
        <w:rPr>
          <w:sz w:val="24"/>
          <w:szCs w:val="24"/>
        </w:rPr>
      </w:pPr>
      <w:r>
        <w:rPr>
          <w:sz w:val="24"/>
          <w:szCs w:val="24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5076825" cy="1709823"/>
            <wp:effectExtent l="0" t="0" r="0" b="0"/>
            <wp:docPr id="1073741825" name="officeArt object" descr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2" descr="Imagem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7098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spacing w:after="16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Figura 1:</w:t>
      </w:r>
      <w:r>
        <w:rPr>
          <w:sz w:val="20"/>
          <w:szCs w:val="20"/>
          <w:rtl w:val="0"/>
          <w:lang w:val="pt-PT"/>
        </w:rPr>
        <w:t xml:space="preserve"> m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todos de mensura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da cifose do segmento vertebral fraturado. M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todo 1</w:t>
      </w:r>
      <w:r>
        <w:rPr>
          <w:i w:val="1"/>
          <w:iCs w:val="1"/>
          <w:sz w:val="20"/>
          <w:szCs w:val="20"/>
          <w:rtl w:val="0"/>
          <w:lang w:val="pt-PT"/>
        </w:rPr>
        <w:t xml:space="preserve"> -</w:t>
      </w:r>
      <w:r>
        <w:rPr>
          <w:sz w:val="20"/>
          <w:szCs w:val="20"/>
          <w:rtl w:val="0"/>
          <w:lang w:val="pt-PT"/>
        </w:rPr>
        <w:t xml:space="preserve"> â</w:t>
      </w:r>
      <w:r>
        <w:rPr>
          <w:sz w:val="20"/>
          <w:szCs w:val="20"/>
          <w:rtl w:val="0"/>
          <w:lang w:val="pt-PT"/>
        </w:rPr>
        <w:t>ngulo de Cobb; M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 xml:space="preserve">todo 2 </w:t>
      </w:r>
      <w:r>
        <w:rPr>
          <w:i w:val="1"/>
          <w:iCs w:val="1"/>
          <w:sz w:val="20"/>
          <w:szCs w:val="20"/>
          <w:rtl w:val="0"/>
          <w:lang w:val="pt-PT"/>
        </w:rPr>
        <w:t>-</w:t>
      </w:r>
      <w:r>
        <w:rPr>
          <w:sz w:val="20"/>
          <w:szCs w:val="20"/>
          <w:rtl w:val="0"/>
          <w:lang w:val="pt-PT"/>
        </w:rPr>
        <w:t xml:space="preserve"> m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todo de Gardner; M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 xml:space="preserve">todo 3 - </w:t>
      </w:r>
      <w:r>
        <w:rPr>
          <w:sz w:val="20"/>
          <w:szCs w:val="20"/>
          <w:rtl w:val="0"/>
          <w:lang w:val="pt-PT"/>
        </w:rPr>
        <w:t>â</w:t>
      </w:r>
      <w:r>
        <w:rPr>
          <w:sz w:val="20"/>
          <w:szCs w:val="20"/>
          <w:rtl w:val="0"/>
          <w:lang w:val="pt-PT"/>
        </w:rPr>
        <w:t>ngulo das paredes posteriores; M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 xml:space="preserve">todo 4 - </w:t>
      </w:r>
      <w:r>
        <w:rPr>
          <w:sz w:val="20"/>
          <w:szCs w:val="20"/>
          <w:rtl w:val="0"/>
          <w:lang w:val="pt-PT"/>
        </w:rPr>
        <w:t>â</w:t>
      </w:r>
      <w:r>
        <w:rPr>
          <w:sz w:val="20"/>
          <w:szCs w:val="20"/>
          <w:rtl w:val="0"/>
          <w:lang w:val="pt-PT"/>
        </w:rPr>
        <w:t>ngulo das placas terminais adjacentes; M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 xml:space="preserve">todo 5 - </w:t>
      </w:r>
      <w:r>
        <w:rPr>
          <w:sz w:val="20"/>
          <w:szCs w:val="20"/>
          <w:rtl w:val="0"/>
          <w:lang w:val="pt-PT"/>
        </w:rPr>
        <w:t>â</w:t>
      </w:r>
      <w:r>
        <w:rPr>
          <w:sz w:val="20"/>
          <w:szCs w:val="20"/>
          <w:rtl w:val="0"/>
          <w:lang w:val="pt-PT"/>
        </w:rPr>
        <w:t>ngulo de cunha.</w:t>
      </w:r>
    </w:p>
    <w:p>
      <w:pPr>
        <w:pStyle w:val="Corpo A"/>
        <w:spacing w:after="160"/>
        <w:ind w:firstLine="708"/>
        <w:rPr>
          <w:sz w:val="24"/>
          <w:szCs w:val="24"/>
        </w:rPr>
      </w:pPr>
    </w:p>
    <w:p>
      <w:pPr>
        <w:pStyle w:val="Corpo A"/>
        <w:spacing w:after="160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Por 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haver consenso ou padroniza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no uso de um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ou da combina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deles,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poss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vel que a escolha deles possa variar em todo o mundo de acordo com a prefer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ou familiaridade do cirurgi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o. O uso de diferentes 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cnicas para </w:t>
      </w:r>
      <w:r>
        <w:rPr>
          <w:sz w:val="24"/>
          <w:szCs w:val="24"/>
          <w:rtl w:val="0"/>
          <w:lang w:val="pt-PT"/>
        </w:rPr>
        <w:t>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dos mesmos par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metros </w:t>
      </w:r>
      <w:r>
        <w:rPr>
          <w:sz w:val="24"/>
          <w:szCs w:val="24"/>
          <w:rtl w:val="0"/>
          <w:lang w:val="pt-PT"/>
        </w:rPr>
        <w:t xml:space="preserve">pode resultar em diferentes resultados e, assim, levar </w:t>
      </w:r>
      <w:r>
        <w:rPr>
          <w:sz w:val="24"/>
          <w:szCs w:val="24"/>
          <w:rtl w:val="0"/>
          <w:lang w:val="pt-PT"/>
        </w:rPr>
        <w:t xml:space="preserve">à </w:t>
      </w:r>
      <w:r>
        <w:rPr>
          <w:sz w:val="24"/>
          <w:szCs w:val="24"/>
          <w:rtl w:val="0"/>
          <w:lang w:val="pt-PT"/>
        </w:rPr>
        <w:t>variabilidade do tratamento para certos tipos de fraturas</w:t>
      </w:r>
      <w:r>
        <w:rPr>
          <w:sz w:val="24"/>
          <w:szCs w:val="24"/>
          <w:rtl w:val="0"/>
          <w:lang w:val="pt-PT"/>
        </w:rPr>
        <w:t>.</w:t>
      </w:r>
      <w:r>
        <w:rPr>
          <w:sz w:val="24"/>
          <w:szCs w:val="24"/>
          <w:vertAlign w:val="superscript"/>
          <w:rtl w:val="0"/>
          <w:lang w:val="pt-PT"/>
        </w:rPr>
        <w:t xml:space="preserve">11,12,13 </w:t>
      </w:r>
      <w:r>
        <w:rPr>
          <w:sz w:val="24"/>
          <w:szCs w:val="24"/>
          <w:rtl w:val="0"/>
          <w:lang w:val="pt-PT"/>
        </w:rPr>
        <w:t>Estudo de Sadiqi e colaboradores realizado entre uma comunidade internacional de especialistas em trauma da coluna de todas as regi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  <w:lang w:val="pt-PT"/>
        </w:rPr>
        <w:t xml:space="preserve">es do mundo identificou que o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Cobb foi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mais frequentemente utilizado na coluna toracolombar dentre 107 cirurgi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  <w:lang w:val="pt-PT"/>
        </w:rPr>
        <w:t>es de 43 pa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ses diferentes, e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das paredes posteriores o menos utilizado</w:t>
      </w:r>
      <w:r>
        <w:rPr>
          <w:sz w:val="24"/>
          <w:szCs w:val="24"/>
          <w:rtl w:val="0"/>
          <w:lang w:val="pt-PT"/>
        </w:rPr>
        <w:t>.</w:t>
      </w:r>
      <w:r>
        <w:rPr>
          <w:sz w:val="24"/>
          <w:szCs w:val="24"/>
          <w:vertAlign w:val="superscript"/>
          <w:rtl w:val="0"/>
          <w:lang w:val="pt-PT"/>
        </w:rPr>
        <w:t>1</w:t>
      </w:r>
    </w:p>
    <w:p>
      <w:pPr>
        <w:pStyle w:val="Corpo A"/>
        <w:spacing w:after="160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Dada a import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do valor angular da cifose do segmento fraturado como um  dos par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es-ES_tradnl"/>
        </w:rPr>
        <w:t>metro</w:t>
      </w:r>
      <w:r>
        <w:rPr>
          <w:sz w:val="24"/>
          <w:szCs w:val="24"/>
          <w:rtl w:val="0"/>
          <w:lang w:val="pt-PT"/>
        </w:rPr>
        <w:t>s classicamente utilizados para a decis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terap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utica ou avalia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dos resultados do tratamento</w:t>
      </w:r>
      <w:r>
        <w:rPr>
          <w:sz w:val="24"/>
          <w:szCs w:val="24"/>
          <w:rtl w:val="0"/>
          <w:lang w:val="pt-PT"/>
        </w:rPr>
        <w:t>,</w:t>
      </w:r>
      <w:r>
        <w:rPr>
          <w:sz w:val="24"/>
          <w:szCs w:val="24"/>
          <w:vertAlign w:val="superscript"/>
          <w:rtl w:val="0"/>
          <w:lang w:val="pt-PT"/>
        </w:rPr>
        <w:t>1,3</w:t>
      </w:r>
      <w:r>
        <w:rPr>
          <w:sz w:val="24"/>
          <w:szCs w:val="24"/>
          <w:rtl w:val="0"/>
          <w:lang w:val="pt-PT"/>
        </w:rPr>
        <w:t xml:space="preserve"> s</w:t>
      </w:r>
      <w:r>
        <w:rPr>
          <w:sz w:val="24"/>
          <w:szCs w:val="24"/>
          <w:rtl w:val="0"/>
          <w:lang w:val="fr-FR"/>
        </w:rPr>
        <w:t>ua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deve ser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vel e reprodut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vel. No entanto, a realiza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suas medidas est</w:t>
      </w:r>
      <w:r>
        <w:rPr>
          <w:sz w:val="24"/>
          <w:szCs w:val="24"/>
          <w:rtl w:val="0"/>
          <w:lang w:val="pt-PT"/>
        </w:rPr>
        <w:t xml:space="preserve">á </w:t>
      </w:r>
      <w:r>
        <w:rPr>
          <w:sz w:val="24"/>
          <w:szCs w:val="24"/>
          <w:rtl w:val="0"/>
          <w:lang w:val="pt-PT"/>
        </w:rPr>
        <w:t>associada com certo grau de erro na sua obten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it-IT"/>
        </w:rPr>
        <w:t>o</w:t>
      </w:r>
      <w:r>
        <w:rPr>
          <w:sz w:val="24"/>
          <w:szCs w:val="24"/>
          <w:rtl w:val="0"/>
          <w:lang w:val="pt-PT"/>
        </w:rPr>
        <w:t>. O presente estudo avaliou a confiabilidade intraobservador e interobservador dos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de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 cifose sagital nos tr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s tipos de fratura da coluna toracolombar. Tanto a confiabilidade global de cada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quanto a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entre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 e tipo de fratura foram avaliados. </w:t>
      </w:r>
    </w:p>
    <w:p>
      <w:pPr>
        <w:pStyle w:val="Corpo A"/>
        <w:spacing w:after="160"/>
        <w:rPr>
          <w:sz w:val="24"/>
          <w:szCs w:val="24"/>
        </w:rPr>
      </w:pPr>
    </w:p>
    <w:p>
      <w:pPr>
        <w:pStyle w:val="Corpo A"/>
        <w:spacing w:after="160"/>
      </w:pPr>
    </w:p>
    <w:p>
      <w:pPr>
        <w:pStyle w:val="Corpo A"/>
        <w:spacing w:after="16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MATERIAIS E M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es-ES_tradnl"/>
        </w:rPr>
        <w:t>TODOS</w:t>
      </w:r>
    </w:p>
    <w:p>
      <w:pPr>
        <w:pStyle w:val="Corpo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ab/>
        <w:t>Ap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s aprova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pelo Comit</w:t>
      </w:r>
      <w:r>
        <w:rPr>
          <w:sz w:val="24"/>
          <w:szCs w:val="24"/>
          <w:rtl w:val="0"/>
          <w:lang w:val="pt-PT"/>
        </w:rPr>
        <w:t xml:space="preserve">ê </w:t>
      </w:r>
      <w:r>
        <w:rPr>
          <w:sz w:val="24"/>
          <w:szCs w:val="24"/>
          <w:rtl w:val="0"/>
          <w:lang w:val="pt-PT"/>
        </w:rPr>
        <w:t xml:space="preserve">de 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tica em Pesquisa</w:t>
      </w:r>
      <w:r>
        <w:rPr>
          <w:sz w:val="24"/>
          <w:szCs w:val="24"/>
          <w:rtl w:val="0"/>
          <w:lang w:val="pt-PT"/>
        </w:rPr>
        <w:t xml:space="preserve"> local,</w:t>
      </w:r>
      <w:r>
        <w:rPr>
          <w:sz w:val="24"/>
          <w:szCs w:val="24"/>
          <w:rtl w:val="0"/>
          <w:lang w:val="pt-PT"/>
        </w:rPr>
        <w:t xml:space="preserve"> foi realizado um estudo transversal das mensura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da deformidade em cifose nas fraturas da coluna toracolombar.</w:t>
      </w:r>
      <w:r>
        <w:rPr>
          <w:b w:val="1"/>
          <w:bCs w:val="1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Foram obtidas radiografias simples em perfil de pacientes adultos admitidos n</w:t>
      </w:r>
      <w:r>
        <w:rPr>
          <w:sz w:val="24"/>
          <w:szCs w:val="24"/>
          <w:rtl w:val="0"/>
          <w:lang w:val="pt-PT"/>
        </w:rPr>
        <w:t>a sala de urg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de hospital quatern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rio</w:t>
      </w:r>
      <w:r>
        <w:rPr>
          <w:sz w:val="24"/>
          <w:szCs w:val="24"/>
          <w:rtl w:val="0"/>
          <w:lang w:val="pt-PT"/>
        </w:rPr>
        <w:t xml:space="preserve"> com o diagn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stico de</w:t>
      </w:r>
      <w:r>
        <w:rPr>
          <w:rtl w:val="0"/>
          <w:lang w:val="pt-PT"/>
        </w:rPr>
        <w:t xml:space="preserve"> </w:t>
      </w:r>
      <w:r>
        <w:rPr>
          <w:sz w:val="24"/>
          <w:szCs w:val="24"/>
          <w:rtl w:val="0"/>
          <w:lang w:val="it-IT"/>
        </w:rPr>
        <w:t>fratura vertebral</w:t>
      </w:r>
      <w:r>
        <w:rPr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de-DE"/>
        </w:rPr>
        <w:t>traum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it-IT"/>
        </w:rPr>
        <w:t>tica da coluna toracolombar</w:t>
      </w:r>
      <w:r>
        <w:rPr>
          <w:sz w:val="24"/>
          <w:szCs w:val="24"/>
          <w:rtl w:val="0"/>
          <w:lang w:val="pt-PT"/>
        </w:rPr>
        <w:t xml:space="preserve"> em um </w:t>
      </w:r>
      <w:r>
        <w:rPr>
          <w:sz w:val="24"/>
          <w:szCs w:val="24"/>
          <w:rtl w:val="0"/>
          <w:lang w:val="pt-PT"/>
        </w:rPr>
        <w:t>ú</w:t>
      </w:r>
      <w:r>
        <w:rPr>
          <w:sz w:val="24"/>
          <w:szCs w:val="24"/>
          <w:rtl w:val="0"/>
          <w:lang w:val="pt-PT"/>
        </w:rPr>
        <w:t>nico n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vel, com o exame abrangendo a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rtebra fraturada e as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rtebras 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ntegras adjacentes. Destas, foram selecionadas </w:t>
      </w:r>
      <w:r>
        <w:rPr>
          <w:sz w:val="24"/>
          <w:szCs w:val="24"/>
          <w:rtl w:val="0"/>
          <w:lang w:val="pt-PT"/>
        </w:rPr>
        <w:t>cinco</w:t>
      </w:r>
      <w:r>
        <w:rPr>
          <w:sz w:val="24"/>
          <w:szCs w:val="24"/>
          <w:rtl w:val="0"/>
          <w:lang w:val="pt-PT"/>
        </w:rPr>
        <w:t xml:space="preserve"> radiografias para cada tipo de fratura (A, B e C), previamente subdivididas e classificadas de acordo com a classifica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Magerl</w:t>
      </w:r>
      <w:r>
        <w:rPr>
          <w:sz w:val="24"/>
          <w:szCs w:val="24"/>
          <w:rtl w:val="0"/>
          <w:lang w:val="pt-PT"/>
        </w:rPr>
        <w:t>.</w:t>
      </w:r>
      <w:r>
        <w:rPr>
          <w:sz w:val="24"/>
          <w:szCs w:val="24"/>
          <w:vertAlign w:val="superscript"/>
          <w:rtl w:val="0"/>
          <w:lang w:val="pt-PT"/>
        </w:rPr>
        <w:t>14</w:t>
      </w:r>
      <w:r>
        <w:rPr>
          <w:sz w:val="24"/>
          <w:szCs w:val="24"/>
          <w:rtl w:val="0"/>
          <w:lang w:val="pt-PT"/>
        </w:rPr>
        <w:t xml:space="preserve"> O n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vel da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rtebra fraturada foi T12 em cinco pacientes, L1 em cinco, L2 em quatro e L3 em um paciente.</w:t>
      </w:r>
    </w:p>
    <w:p>
      <w:pPr>
        <w:pStyle w:val="Corpo A"/>
        <w:spacing w:after="160"/>
        <w:rPr>
          <w:sz w:val="24"/>
          <w:szCs w:val="24"/>
        </w:rPr>
      </w:pPr>
      <w:r>
        <w:rPr>
          <w:sz w:val="24"/>
          <w:szCs w:val="24"/>
          <w:rtl w:val="0"/>
        </w:rPr>
        <w:tab/>
        <w:t>Em cada caso, o valor angular da cifose do segmento fraturado foi mensurado atrav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s dos cinco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todos mais relevantes descritos na literatura: (1)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Cobb; (2)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 de Gardner; (3)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ngulo das paredes posteriores; (4)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ngulo das placas terminais adjacentes; (5)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cunha. Cinco avaliadores independentes com semelhante experi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de atua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na 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rea da cirurgia da coluna participaram do estudo. Cada um destes realizou as medidas em radiografias digitais utilizando o programa computadorizado Surgimap</w:t>
      </w:r>
      <w:r>
        <w:rPr>
          <w:sz w:val="24"/>
          <w:szCs w:val="24"/>
          <w:rtl w:val="0"/>
          <w:lang w:val="pt-PT"/>
        </w:rPr>
        <w:t>®</w:t>
      </w:r>
      <w:r>
        <w:rPr>
          <w:sz w:val="24"/>
          <w:szCs w:val="24"/>
          <w:rtl w:val="0"/>
          <w:lang w:val="pt-PT"/>
        </w:rPr>
        <w:t>, com a mesma ferramenta em todos os casos. Em cada radiografia, os avaliadores efetuaram cinco mensura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utilizando os cinco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todos, com intervalo de </w:t>
      </w:r>
      <w:r>
        <w:rPr>
          <w:sz w:val="24"/>
          <w:szCs w:val="24"/>
          <w:rtl w:val="0"/>
          <w:lang w:val="pt-PT"/>
        </w:rPr>
        <w:t>duas</w:t>
      </w:r>
      <w:r>
        <w:rPr>
          <w:sz w:val="24"/>
          <w:szCs w:val="24"/>
          <w:rtl w:val="0"/>
          <w:lang w:val="pt-PT"/>
        </w:rPr>
        <w:t xml:space="preserve"> semanas entre cada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o, sem tomarem conhecimento de seus resultados pr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vios. Os dados obtidos foram inseridos em um banco de dados e ent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utilizados para a an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lise estat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stica.</w:t>
      </w:r>
    </w:p>
    <w:p>
      <w:pPr>
        <w:pStyle w:val="Corpo A"/>
        <w:spacing w:after="160"/>
      </w:pPr>
      <w:r>
        <w:rPr>
          <w:sz w:val="24"/>
          <w:szCs w:val="24"/>
          <w:rtl w:val="0"/>
        </w:rPr>
        <w:tab/>
        <w:t>A an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lise estat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stica foi realizada por meio da estat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stica descritiva dos dados utilizando-se o programa</w:t>
      </w:r>
      <w:r>
        <w:rPr>
          <w:i w:val="1"/>
          <w:iCs w:val="1"/>
          <w:sz w:val="24"/>
          <w:szCs w:val="24"/>
          <w:rtl w:val="0"/>
          <w:lang w:val="pt-PT"/>
        </w:rPr>
        <w:t xml:space="preserve"> R Studio </w:t>
      </w:r>
      <w:r>
        <w:rPr>
          <w:sz w:val="24"/>
          <w:szCs w:val="24"/>
          <w:rtl w:val="0"/>
          <w:lang w:val="pt-PT"/>
        </w:rPr>
        <w:t>com a fun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</w:t>
      </w:r>
      <w:r>
        <w:rPr>
          <w:i w:val="1"/>
          <w:iCs w:val="1"/>
          <w:sz w:val="24"/>
          <w:szCs w:val="24"/>
          <w:rtl w:val="0"/>
          <w:lang w:val="pt-PT"/>
        </w:rPr>
        <w:t>Intraclass correlation coefficient (ICC) for oneway and twoway models</w:t>
      </w:r>
      <w:r>
        <w:rPr>
          <w:sz w:val="24"/>
          <w:szCs w:val="24"/>
          <w:rtl w:val="0"/>
          <w:lang w:val="pt-PT"/>
        </w:rPr>
        <w:t>. Os par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metros utilizados foram: modelo = </w:t>
      </w:r>
      <w:r>
        <w:rPr>
          <w:i w:val="1"/>
          <w:iCs w:val="1"/>
          <w:sz w:val="24"/>
          <w:szCs w:val="24"/>
          <w:rtl w:val="0"/>
          <w:lang w:val="pt-PT"/>
        </w:rPr>
        <w:t xml:space="preserve">twoway, </w:t>
      </w:r>
      <w:r>
        <w:rPr>
          <w:sz w:val="24"/>
          <w:szCs w:val="24"/>
          <w:rtl w:val="0"/>
          <w:lang w:val="pt-PT"/>
        </w:rPr>
        <w:t xml:space="preserve">tipo = </w:t>
      </w:r>
      <w:r>
        <w:rPr>
          <w:i w:val="1"/>
          <w:iCs w:val="1"/>
          <w:sz w:val="24"/>
          <w:szCs w:val="24"/>
          <w:rtl w:val="0"/>
          <w:lang w:val="pt-PT"/>
        </w:rPr>
        <w:t xml:space="preserve">agreement </w:t>
      </w:r>
      <w:r>
        <w:rPr>
          <w:sz w:val="24"/>
          <w:szCs w:val="24"/>
          <w:rtl w:val="0"/>
          <w:lang w:val="pt-PT"/>
        </w:rPr>
        <w:t>e unidade = si</w:t>
      </w:r>
      <w:r>
        <w:rPr>
          <w:i w:val="1"/>
          <w:iCs w:val="1"/>
          <w:sz w:val="24"/>
          <w:szCs w:val="24"/>
          <w:rtl w:val="0"/>
          <w:lang w:val="pt-PT"/>
        </w:rPr>
        <w:t>ngle.</w:t>
      </w:r>
      <w:r>
        <w:rPr>
          <w:sz w:val="24"/>
          <w:szCs w:val="24"/>
          <w:rtl w:val="0"/>
          <w:lang w:val="pt-PT"/>
        </w:rPr>
        <w:t xml:space="preserve"> Foi calculado o coeficiente de correla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intraclasse (ICC) para a an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lise de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e para as confiabilidades intra e interobservadores</w:t>
      </w:r>
      <w:r>
        <w:rPr>
          <w:sz w:val="24"/>
          <w:szCs w:val="24"/>
          <w:rtl w:val="0"/>
          <w:lang w:val="pt-PT"/>
        </w:rPr>
        <w:t>.</w:t>
      </w:r>
      <w:r>
        <w:rPr>
          <w:sz w:val="24"/>
          <w:szCs w:val="24"/>
          <w:vertAlign w:val="superscript"/>
          <w:rtl w:val="0"/>
          <w:lang w:val="pt-PT"/>
        </w:rPr>
        <w:t>15,16,17</w:t>
      </w:r>
      <w:r>
        <w:rPr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A confiabilidade intraobservador avaliou a reprodutibilidade de cada observador para cada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utilizado, considerando as cinco mensura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realizadas para uma mesma radiografia. As confiabilidades interobservadores foram obtidas para avaliar a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geral entre os cinco avaliadores para cada um dos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independe</w:t>
      </w:r>
      <w:r>
        <w:rPr>
          <w:sz w:val="24"/>
          <w:szCs w:val="24"/>
          <w:rtl w:val="0"/>
          <w:lang w:val="pt-PT"/>
        </w:rPr>
        <w:t>nte</w:t>
      </w:r>
      <w:r>
        <w:rPr>
          <w:sz w:val="24"/>
          <w:szCs w:val="24"/>
          <w:rtl w:val="0"/>
          <w:lang w:val="pt-PT"/>
        </w:rPr>
        <w:t>mente, e tamb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m para cada um dos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relacionados especificamente com cada tipo de fratura. Os resultados analisaram os melhores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de acordo com a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absoluta. Koo e  Li sugerem que valores de ICC menores que 0,5 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indicativos de baixa confiabilidade, valores entre 0,5 e 0,75 indicam confiabilidade moderada, valores entre 0,75 e 0,9 indicam boa confiabilidade, e valores maiores que 0,9 indicam confiabilidade excelente</w:t>
      </w:r>
      <w:r>
        <w:rPr>
          <w:sz w:val="24"/>
          <w:szCs w:val="24"/>
          <w:rtl w:val="0"/>
          <w:lang w:val="pt-PT"/>
        </w:rPr>
        <w:t>.</w:t>
      </w:r>
      <w:r>
        <w:rPr>
          <w:sz w:val="24"/>
          <w:szCs w:val="24"/>
          <w:vertAlign w:val="superscript"/>
          <w:rtl w:val="0"/>
          <w:lang w:val="pt-PT"/>
        </w:rPr>
        <w:t>15</w:t>
      </w:r>
      <w:r>
        <w:rPr>
          <w:sz w:val="24"/>
          <w:szCs w:val="24"/>
          <w:rtl w:val="0"/>
          <w:lang w:val="pt-PT"/>
        </w:rPr>
        <w:t xml:space="preserve"> Logo, quanto mais pr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ximo de 1 for o ICC, maior a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entre os valores do mesmo grupo, enquanto que um ICC baixo mais pr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ximo de zero indica menor semelhan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pt-PT"/>
        </w:rPr>
        <w:t>a entre os valores.</w:t>
      </w:r>
    </w:p>
    <w:p>
      <w:pPr>
        <w:pStyle w:val="Corpo A"/>
        <w:spacing w:after="160"/>
      </w:pPr>
    </w:p>
    <w:p>
      <w:pPr>
        <w:pStyle w:val="Corpo A"/>
        <w:spacing w:after="16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RESULTADOS</w:t>
      </w:r>
    </w:p>
    <w:p>
      <w:pPr>
        <w:pStyle w:val="Corpo A"/>
        <w:spacing w:after="16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pt-PT"/>
        </w:rPr>
        <w:t>Confiabilidade intraobservador</w:t>
      </w:r>
    </w:p>
    <w:p>
      <w:pPr>
        <w:pStyle w:val="Corpo A"/>
        <w:spacing w:after="160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pt-PT"/>
        </w:rPr>
        <w:t>A confiabilidade intraobservador foi excelente para os cinco avaliadores participantes do estudo, com ICC variando de 0,938 a 0,989. Considerando a an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lise intraobservador individualmente por fratura, a confiabilidade dos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foi elevada na grande maioria das avalia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(</w:t>
      </w:r>
      <w:r>
        <w:rPr>
          <w:b w:val="1"/>
          <w:bCs w:val="1"/>
          <w:sz w:val="24"/>
          <w:szCs w:val="24"/>
          <w:rtl w:val="0"/>
          <w:lang w:val="pt-PT"/>
        </w:rPr>
        <w:t>tabela 1</w:t>
      </w:r>
      <w:r>
        <w:rPr>
          <w:sz w:val="24"/>
          <w:szCs w:val="24"/>
          <w:rtl w:val="0"/>
          <w:lang w:val="pt-PT"/>
        </w:rPr>
        <w:t>). Nas fraturas do tipo A, o coeficiente de correla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intraclasse variou de 0,982 a 0,993 para o avaliador 1, 0,985 a 0,994 para o avaliador 2, 0,990 a 0,996 para o avaliador 3, 0,945 a 0,988 para o avaliador 4 e 0,963 a 0,988 para o avaliador 5, com resultados excelentes em todos os casos. Nas fraturas do tipo B, o ICC variou de 0,940 a 0,992 para o avaliador 1, 0,980 a 0,991 para o avaliador 2, 0,782 a 0,991 para o avaliador 3, 0,491 a 0,962 para o avaliador 4 e 0,806 a 0,953 para o avaliador 5. Neste tipo de fratura, observamos pontualmente 2 resultados classificados como pobre (ICC 0,491 -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3 do avaliador 4) ou moderado (ICC 0,580 -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 4 do avaliador 4); todos os demais resultados se enquadraram como bons ou excelentes. Nas fraturas do tipo C, o ICC variou de 0,970 a 0,992 para o avaliador 1, 0,965 a 0,993 para o avaliador 2, 0,974 a 0,995 para o avaliador 3, 0,881 a 0,969 para o avaliador 4 e 0,948 a 0,972 para o avaliador 5. Exceto por um </w:t>
      </w:r>
      <w:r>
        <w:rPr>
          <w:sz w:val="24"/>
          <w:szCs w:val="24"/>
          <w:rtl w:val="0"/>
          <w:lang w:val="pt-PT"/>
        </w:rPr>
        <w:t>ú</w:t>
      </w:r>
      <w:r>
        <w:rPr>
          <w:sz w:val="24"/>
          <w:szCs w:val="24"/>
          <w:rtl w:val="0"/>
          <w:lang w:val="pt-PT"/>
        </w:rPr>
        <w:t>nico resultado classificado como bom (ICC 0,881 -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3 do avaliador 4), todos os demais resultados das fraturas do tipo C tiveram excelente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intraobservador dentre os diferentes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todos.</w:t>
      </w:r>
    </w:p>
    <w:p>
      <w:pPr>
        <w:pStyle w:val="Corpo A"/>
        <w:spacing w:after="160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line">
              <wp:posOffset>93979</wp:posOffset>
            </wp:positionV>
            <wp:extent cx="3275822" cy="20161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m" descr="Imagem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822" cy="2016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pacing w:after="160"/>
        <w:rPr>
          <w:sz w:val="24"/>
          <w:szCs w:val="24"/>
        </w:rPr>
      </w:pPr>
    </w:p>
    <w:p>
      <w:pPr>
        <w:pStyle w:val="Corpo A"/>
        <w:spacing w:after="160"/>
        <w:rPr>
          <w:sz w:val="24"/>
          <w:szCs w:val="24"/>
        </w:rPr>
      </w:pPr>
    </w:p>
    <w:p>
      <w:pPr>
        <w:pStyle w:val="Corpo A"/>
        <w:spacing w:after="160"/>
        <w:rPr>
          <w:sz w:val="24"/>
          <w:szCs w:val="24"/>
        </w:rPr>
      </w:pPr>
    </w:p>
    <w:p>
      <w:pPr>
        <w:pStyle w:val="Corpo A"/>
        <w:spacing w:after="160"/>
        <w:rPr>
          <w:sz w:val="24"/>
          <w:szCs w:val="24"/>
        </w:rPr>
      </w:pPr>
    </w:p>
    <w:p>
      <w:pPr>
        <w:pStyle w:val="Corpo A"/>
        <w:spacing w:after="16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Tabela 1:</w:t>
      </w:r>
      <w:r>
        <w:rPr>
          <w:sz w:val="20"/>
          <w:szCs w:val="20"/>
          <w:rtl w:val="0"/>
          <w:lang w:val="pt-PT"/>
        </w:rPr>
        <w:t xml:space="preserve"> coeficiente de correla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intraclasse para a confiabilidade intraobservador utilizando os diferentes m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todos para cada tipo de fratura.</w:t>
      </w:r>
    </w:p>
    <w:p>
      <w:pPr>
        <w:pStyle w:val="Corpo A"/>
        <w:spacing w:after="160"/>
        <w:rPr>
          <w:sz w:val="24"/>
          <w:szCs w:val="24"/>
        </w:rPr>
      </w:pPr>
    </w:p>
    <w:p>
      <w:pPr>
        <w:pStyle w:val="Corpo A"/>
        <w:spacing w:after="160"/>
        <w:rPr>
          <w:sz w:val="20"/>
          <w:szCs w:val="20"/>
        </w:rPr>
      </w:pPr>
      <w:r>
        <w:rPr>
          <w:sz w:val="24"/>
          <w:szCs w:val="24"/>
          <w:rtl w:val="0"/>
          <w:lang w:val="pt-PT"/>
        </w:rPr>
        <w:t>Confiabilidade interobservador</w:t>
      </w:r>
    </w:p>
    <w:p>
      <w:pPr>
        <w:pStyle w:val="Corpo A"/>
        <w:spacing w:after="16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ab/>
        <w:t>Utilizando coeficientes de correla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intraclasse para cada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de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o, todos apresentaram elevada confiabilidade interobservador.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1 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Cobb) e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4 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das placas terminais adjacentes) apresentaram os coeficientes de correla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mais consistentes, com ICC excelentes e id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nticos de 0,918. O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todo 2 (m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todo de Gardner) teve o terceiro melhor resultado, com ICC de 0,905, seguido pelo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todo 3 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das paredes posteriores) com ICC de 0,808. O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todo de menor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entre os avaliadores foi o 5 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ngulo de cunha), com ICC de 0,794, apesar de ainda ser considerado um bom resultado. </w:t>
      </w:r>
    </w:p>
    <w:p>
      <w:pPr>
        <w:pStyle w:val="Corpo A"/>
        <w:spacing w:after="16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ab/>
        <w:t>Em se tratando dos tipos de fratura isoladamente, todas apresentaram excelente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entre os observadores nas suas mensura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es. As fraturas do tipo A foram as que proporcionaram a maior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ncia, com ICC de 0,921, seguidas pelas do tipo C, com ICC de 0,918 e, por fim, pelas do tipo B, com ICC de 0,819. Quando comparados cada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de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com os tipos espec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ficos de fraturas, conclu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mos que 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que apresentaram maior e menor confiabilidade para as fraturas do tipo A foram, respectivamente, 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4 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das placas terminais adjacentes), com ICC de 0,959, e 5 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cunha), com ICC de 0,742. Para as fraturas do tipo B,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mais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vel foi o 2 (m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todo de Gardner</w:t>
      </w:r>
      <w:r>
        <w:rPr>
          <w:sz w:val="24"/>
          <w:szCs w:val="24"/>
          <w:rtl w:val="0"/>
          <w:lang w:val="pt-PT"/>
        </w:rPr>
        <w:t>), com ICC de 0,883, e o menos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vel foi o 3 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das paredes posteriores), com ICC de 0,326. J</w:t>
      </w:r>
      <w:r>
        <w:rPr>
          <w:sz w:val="24"/>
          <w:szCs w:val="24"/>
          <w:rtl w:val="0"/>
          <w:lang w:val="pt-PT"/>
        </w:rPr>
        <w:t xml:space="preserve">á </w:t>
      </w:r>
      <w:r>
        <w:rPr>
          <w:sz w:val="24"/>
          <w:szCs w:val="24"/>
          <w:rtl w:val="0"/>
          <w:lang w:val="pt-PT"/>
        </w:rPr>
        <w:t>nas fraturas do tipo C,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4 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das placas terminais adjacentes) foi o mais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vel (ICC de 0,924), e o 3 (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das paredes posteriores) o de menor confiabilidade (ICC de 0,849). O</w:t>
      </w:r>
      <w:r>
        <w:rPr>
          <w:b w:val="1"/>
          <w:bCs w:val="1"/>
          <w:sz w:val="24"/>
          <w:szCs w:val="24"/>
          <w:rtl w:val="0"/>
          <w:lang w:val="pt-PT"/>
        </w:rPr>
        <w:t xml:space="preserve"> gr</w:t>
      </w:r>
      <w:r>
        <w:rPr>
          <w:b w:val="1"/>
          <w:bCs w:val="1"/>
          <w:sz w:val="24"/>
          <w:szCs w:val="24"/>
          <w:rtl w:val="0"/>
          <w:lang w:val="pt-PT"/>
        </w:rPr>
        <w:t>á</w:t>
      </w:r>
      <w:r>
        <w:rPr>
          <w:b w:val="1"/>
          <w:bCs w:val="1"/>
          <w:sz w:val="24"/>
          <w:szCs w:val="24"/>
          <w:rtl w:val="0"/>
          <w:lang w:val="pt-PT"/>
        </w:rPr>
        <w:t>fico 1</w:t>
      </w:r>
      <w:r>
        <w:rPr>
          <w:sz w:val="24"/>
          <w:szCs w:val="24"/>
          <w:rtl w:val="0"/>
          <w:lang w:val="pt-PT"/>
        </w:rPr>
        <w:t xml:space="preserve"> ilustra todas as medidas (em graus) realizadas pelos 5 avaliadores atrav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s dos 5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de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o, com as fraturas subdivididas em tipo A, B e C.</w:t>
      </w:r>
    </w:p>
    <w:p>
      <w:pPr>
        <w:pStyle w:val="Corpo A"/>
        <w:spacing w:after="160"/>
        <w:rPr>
          <w:sz w:val="24"/>
          <w:szCs w:val="24"/>
        </w:rPr>
      </w:pPr>
      <w:r>
        <w:rPr>
          <w:sz w:val="24"/>
          <w:szCs w:val="24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5648160" cy="3848100"/>
            <wp:effectExtent l="0" t="0" r="0" b="0"/>
            <wp:docPr id="1073741827" name="officeArt object" descr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m 3" descr="Imagem 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160" cy="384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spacing w:after="16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Gr</w:t>
      </w:r>
      <w:r>
        <w:rPr>
          <w:b w:val="1"/>
          <w:bCs w:val="1"/>
          <w:sz w:val="20"/>
          <w:szCs w:val="20"/>
          <w:rtl w:val="0"/>
          <w:lang w:val="pt-PT"/>
        </w:rPr>
        <w:t>á</w:t>
      </w:r>
      <w:r>
        <w:rPr>
          <w:b w:val="1"/>
          <w:bCs w:val="1"/>
          <w:sz w:val="20"/>
          <w:szCs w:val="20"/>
          <w:rtl w:val="0"/>
          <w:lang w:val="pt-PT"/>
        </w:rPr>
        <w:t>fico 1:</w:t>
      </w:r>
      <w:r>
        <w:rPr>
          <w:sz w:val="20"/>
          <w:szCs w:val="20"/>
          <w:rtl w:val="0"/>
          <w:lang w:val="pt-PT"/>
        </w:rPr>
        <w:t xml:space="preserve"> medidas (em graus) da cifose por cada avaliador atrav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s dos 5 m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todos de mensura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em cada umas das 15 fraturas. A1, A2, A3, A4 e A5= fraturas do tipo A. B1, B2, B3, B4 e B5= fraturas do tipo B. C1, C2, C3, C4 e C5= fraturas do tipo C.</w:t>
      </w:r>
    </w:p>
    <w:p>
      <w:pPr>
        <w:pStyle w:val="Corpo A"/>
        <w:spacing w:after="160"/>
        <w:rPr>
          <w:b w:val="1"/>
          <w:bCs w:val="1"/>
          <w:sz w:val="24"/>
          <w:szCs w:val="24"/>
        </w:rPr>
      </w:pPr>
    </w:p>
    <w:p>
      <w:pPr>
        <w:pStyle w:val="Corpo A"/>
        <w:spacing w:after="16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DISCUSS</w:t>
      </w:r>
      <w:r>
        <w:rPr>
          <w:b w:val="1"/>
          <w:bCs w:val="1"/>
          <w:sz w:val="24"/>
          <w:szCs w:val="24"/>
          <w:rtl w:val="0"/>
          <w:lang w:val="pt-PT"/>
        </w:rPr>
        <w:t>Ã</w:t>
      </w:r>
      <w:r>
        <w:rPr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Corpo A"/>
        <w:spacing w:after="16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ab/>
        <w:t>A avalia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</w:t>
      </w:r>
      <w:r>
        <w:rPr>
          <w:sz w:val="24"/>
          <w:szCs w:val="24"/>
          <w:rtl w:val="0"/>
          <w:lang w:val="fr-FR"/>
        </w:rPr>
        <w:t>radiogr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fica do segmento vertebral fraturado tem sido um dos par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metros utilizados para a indica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 terap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utica e seguimento dos pacientes com fratura da coluna toracolombar, destacando-se 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 altura do corpo vertebral e da cifose do segmento vertebral fraturado.</w:t>
      </w:r>
      <w:r>
        <w:rPr>
          <w:sz w:val="24"/>
          <w:szCs w:val="24"/>
          <w:vertAlign w:val="superscript"/>
          <w:rtl w:val="0"/>
          <w:lang w:val="pt-PT"/>
        </w:rPr>
        <w:t>1</w:t>
      </w:r>
      <w:r>
        <w:rPr>
          <w:sz w:val="24"/>
          <w:szCs w:val="24"/>
          <w:rtl w:val="0"/>
          <w:lang w:val="pt-PT"/>
        </w:rPr>
        <w:t xml:space="preserve"> Ainda que 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haja consenso entre qual o exame mais apropriado para a avalia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do grau da cifose nestas les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  <w:lang w:val="pt-PT"/>
        </w:rPr>
        <w:t>es traum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ticas, a radiografia simples mostrou-se a ferramenta mais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vel (concord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intra e interobservador) quando comparada a exames como a tomografia computadorizada e a resson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magn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tica</w:t>
      </w:r>
      <w:r>
        <w:rPr>
          <w:sz w:val="24"/>
          <w:szCs w:val="24"/>
          <w:rtl w:val="0"/>
          <w:lang w:val="pt-PT"/>
        </w:rPr>
        <w:t>.</w:t>
      </w:r>
      <w:r>
        <w:rPr>
          <w:sz w:val="24"/>
          <w:szCs w:val="24"/>
          <w:vertAlign w:val="superscript"/>
          <w:rtl w:val="0"/>
          <w:lang w:val="pt-PT"/>
        </w:rPr>
        <w:t>2</w:t>
      </w:r>
      <w:r>
        <w:rPr>
          <w:sz w:val="24"/>
          <w:szCs w:val="24"/>
          <w:rtl w:val="0"/>
          <w:lang w:val="pt-PT"/>
        </w:rPr>
        <w:t xml:space="preserve"> A cifose acima de 15-30 graus tem sido associada com instabilidade</w:t>
      </w:r>
      <w:r>
        <w:rPr>
          <w:sz w:val="24"/>
          <w:szCs w:val="24"/>
          <w:rtl w:val="0"/>
          <w:lang w:val="pt-PT"/>
        </w:rPr>
        <w:t>,</w:t>
      </w:r>
      <w:r>
        <w:rPr>
          <w:sz w:val="24"/>
          <w:szCs w:val="24"/>
          <w:vertAlign w:val="superscript"/>
          <w:rtl w:val="0"/>
          <w:lang w:val="pt-PT"/>
        </w:rPr>
        <w:t>4,5,6,7</w:t>
      </w:r>
      <w:r>
        <w:rPr>
          <w:sz w:val="24"/>
          <w:szCs w:val="24"/>
          <w:rtl w:val="0"/>
          <w:lang w:val="pt-PT"/>
        </w:rPr>
        <w:t xml:space="preserve"> al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m de haver crescente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de que a deformidade cif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tica pode estar associada a dores nas costas</w:t>
      </w:r>
      <w:r>
        <w:rPr>
          <w:sz w:val="24"/>
          <w:szCs w:val="24"/>
          <w:rtl w:val="0"/>
          <w:lang w:val="pt-PT"/>
        </w:rPr>
        <w:t>.</w:t>
      </w:r>
      <w:r>
        <w:rPr>
          <w:sz w:val="24"/>
          <w:szCs w:val="24"/>
          <w:vertAlign w:val="superscript"/>
          <w:rtl w:val="0"/>
          <w:lang w:val="pt-PT"/>
        </w:rPr>
        <w:t>18,19,20</w:t>
      </w:r>
      <w:r>
        <w:rPr>
          <w:sz w:val="24"/>
          <w:szCs w:val="24"/>
          <w:rtl w:val="0"/>
          <w:lang w:val="pt-PT"/>
        </w:rPr>
        <w:t xml:space="preserve"> A utiliza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cnica d</w:t>
      </w:r>
      <w:r>
        <w:rPr>
          <w:sz w:val="24"/>
          <w:szCs w:val="24"/>
          <w:rtl w:val="0"/>
          <w:lang w:val="pt-PT"/>
        </w:rPr>
        <w:t>e avalia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it-IT"/>
        </w:rPr>
        <w:t>o da cifose</w:t>
      </w:r>
      <w:r>
        <w:rPr>
          <w:sz w:val="24"/>
          <w:szCs w:val="24"/>
          <w:rtl w:val="0"/>
          <w:lang w:val="pt-PT"/>
        </w:rPr>
        <w:t xml:space="preserve"> que seja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vel e reprodut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vel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imperativa nas</w:t>
      </w:r>
      <w:r>
        <w:rPr>
          <w:sz w:val="24"/>
          <w:szCs w:val="24"/>
          <w:rtl w:val="0"/>
          <w:lang w:val="it-IT"/>
        </w:rPr>
        <w:t xml:space="preserve"> comunica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es-ES_tradnl"/>
        </w:rPr>
        <w:t>es cient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ficas e acompanhamento da cifose do segmento fraturado. </w:t>
      </w:r>
    </w:p>
    <w:p>
      <w:pPr>
        <w:pStyle w:val="Corpo A"/>
        <w:spacing w:after="16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ab/>
        <w:t>Uma das 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cnicas mais populares para 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da cifose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o '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Cobb'. Ele foi originalmente desenhado em radiografias com incid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anteroposterior como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para avalia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escoliose</w:t>
      </w:r>
      <w:r>
        <w:rPr>
          <w:sz w:val="24"/>
          <w:szCs w:val="24"/>
          <w:rtl w:val="0"/>
          <w:lang w:val="pt-PT"/>
        </w:rPr>
        <w:t>,</w:t>
      </w:r>
      <w:r>
        <w:rPr>
          <w:sz w:val="24"/>
          <w:szCs w:val="24"/>
          <w:vertAlign w:val="superscript"/>
          <w:rtl w:val="0"/>
          <w:lang w:val="pt-PT"/>
        </w:rPr>
        <w:t>21</w:t>
      </w:r>
      <w:r>
        <w:rPr>
          <w:sz w:val="24"/>
          <w:szCs w:val="24"/>
          <w:rtl w:val="0"/>
          <w:lang w:val="pt-PT"/>
        </w:rPr>
        <w:t xml:space="preserve"> e este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o mais amplamente utilizado para quantifica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desta deformidade</w:t>
      </w:r>
      <w:r>
        <w:rPr>
          <w:sz w:val="24"/>
          <w:szCs w:val="24"/>
          <w:rtl w:val="0"/>
          <w:lang w:val="pt-PT"/>
        </w:rPr>
        <w:t>.</w:t>
      </w:r>
      <w:r>
        <w:rPr>
          <w:sz w:val="24"/>
          <w:szCs w:val="24"/>
          <w:vertAlign w:val="superscript"/>
          <w:rtl w:val="0"/>
          <w:lang w:val="pt-PT"/>
        </w:rPr>
        <w:t>22</w:t>
      </w:r>
      <w:r>
        <w:rPr>
          <w:sz w:val="24"/>
          <w:szCs w:val="24"/>
          <w:rtl w:val="0"/>
          <w:lang w:val="pt-PT"/>
        </w:rPr>
        <w:t xml:space="preserve">  O mesmo pode ser dito para 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 cifose, j</w:t>
      </w:r>
      <w:r>
        <w:rPr>
          <w:sz w:val="24"/>
          <w:szCs w:val="24"/>
          <w:rtl w:val="0"/>
          <w:lang w:val="pt-PT"/>
        </w:rPr>
        <w:t xml:space="preserve">á </w:t>
      </w:r>
      <w:r>
        <w:rPr>
          <w:sz w:val="24"/>
          <w:szCs w:val="24"/>
          <w:rtl w:val="0"/>
          <w:lang w:val="pt-PT"/>
        </w:rPr>
        <w:t xml:space="preserve">que o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Cobb nas radiografias em perfil foi considerado como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 mais </w:t>
      </w:r>
      <w:r>
        <w:rPr>
          <w:sz w:val="24"/>
          <w:szCs w:val="24"/>
          <w:rtl w:val="0"/>
          <w:lang w:val="pt-PT"/>
        </w:rPr>
        <w:t>ú</w:t>
      </w:r>
      <w:r>
        <w:rPr>
          <w:sz w:val="24"/>
          <w:szCs w:val="24"/>
          <w:rtl w:val="0"/>
          <w:lang w:val="pt-PT"/>
        </w:rPr>
        <w:t>til</w:t>
      </w:r>
      <w:r>
        <w:rPr>
          <w:sz w:val="24"/>
          <w:szCs w:val="24"/>
          <w:rtl w:val="0"/>
          <w:lang w:val="pt-PT"/>
        </w:rPr>
        <w:t>.</w:t>
      </w:r>
      <w:r>
        <w:rPr>
          <w:sz w:val="24"/>
          <w:szCs w:val="24"/>
          <w:vertAlign w:val="superscript"/>
          <w:rtl w:val="0"/>
          <w:lang w:val="pt-PT"/>
        </w:rPr>
        <w:t>23</w:t>
      </w:r>
      <w:r>
        <w:rPr>
          <w:sz w:val="24"/>
          <w:szCs w:val="24"/>
          <w:rtl w:val="0"/>
          <w:lang w:val="pt-PT"/>
        </w:rPr>
        <w:t xml:space="preserve"> Em nossa an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 xml:space="preserve">lise, o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Cobb (representado pelo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1) apresentou a maior confiabilidade entre os observadores, com semelhante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ncia em rela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ao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4 (ambos com ICC de 0,918). Acreditamos que a maior confiabilidade destes dois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todos sejam decorrentes do uso das placas terminais 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ntegras como linhas de refer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para 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do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 de cifose, o que diminui as diferen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pt-PT"/>
        </w:rPr>
        <w:t>as entre as medidas. As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rtebras fraturadas apresentando afundamento do corpo vertebral ou cominui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 placa terminal podem representar limita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consensuais para a defini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 linha de refer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para 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angular. Apesar de terem apresentado as menores confiabilidades dentre 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analisados, 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3 e 5 apresentaram boas 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ncias, com ICC interobservadores respectivamente de 0,808 e 0,794. </w:t>
      </w:r>
    </w:p>
    <w:p>
      <w:pPr>
        <w:pStyle w:val="Corpo A"/>
        <w:spacing w:after="160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ab/>
        <w:t>Interessantemente, quando analisamos 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individualmente para os diferentes tipos de fraturas classificados por Magerl, a confiabilidade interobservador de cada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varia.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4 foi o mais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vel para as fraturas do tipo A e C, por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m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2 foi o mais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vel para as fraturas do tipo B. A classifica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Magerl das fraturas toracolombares foi desenvolvida tendo como par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metro o dano morfol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gico progressivo determinado por 3 for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pt-PT"/>
        </w:rPr>
        <w:t>as fundamentais: compress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(fraturas tipo A), distra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(fraturas tipo B) e rota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axial (fraturas tipo C)</w:t>
      </w:r>
      <w:r>
        <w:rPr>
          <w:sz w:val="24"/>
          <w:szCs w:val="24"/>
          <w:rtl w:val="0"/>
          <w:lang w:val="pt-PT"/>
        </w:rPr>
        <w:t>.</w:t>
      </w:r>
      <w:r>
        <w:rPr>
          <w:sz w:val="24"/>
          <w:szCs w:val="24"/>
          <w:vertAlign w:val="superscript"/>
          <w:rtl w:val="0"/>
          <w:lang w:val="pt-PT"/>
        </w:rPr>
        <w:t>14</w:t>
      </w:r>
      <w:r>
        <w:rPr>
          <w:sz w:val="24"/>
          <w:szCs w:val="24"/>
          <w:rtl w:val="0"/>
          <w:lang w:val="pt-PT"/>
        </w:rPr>
        <w:t xml:space="preserve"> Por si s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, os diferentes danos morfol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gicos representados pelas 3 categorias de fraturas constituem fonte potencial de diverg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entre avaliadores, o que pode justificar a diverg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do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mais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vel para os tipos espec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ficos de fraturas.</w:t>
      </w:r>
    </w:p>
    <w:p>
      <w:pPr>
        <w:pStyle w:val="Corpo A"/>
        <w:spacing w:after="160"/>
        <w:rPr>
          <w:b w:val="1"/>
          <w:bCs w:val="1"/>
          <w:sz w:val="24"/>
          <w:szCs w:val="24"/>
        </w:rPr>
      </w:pPr>
    </w:p>
    <w:p>
      <w:pPr>
        <w:pStyle w:val="Corpo A"/>
        <w:spacing w:after="16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CONCLUS</w:t>
      </w:r>
      <w:r>
        <w:rPr>
          <w:b w:val="1"/>
          <w:bCs w:val="1"/>
          <w:sz w:val="24"/>
          <w:szCs w:val="24"/>
          <w:rtl w:val="0"/>
          <w:lang w:val="pt-PT"/>
        </w:rPr>
        <w:t>Ã</w:t>
      </w:r>
      <w:r>
        <w:rPr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Corpo A"/>
        <w:spacing w:after="160"/>
        <w:rPr>
          <w:sz w:val="24"/>
          <w:szCs w:val="24"/>
        </w:rPr>
      </w:pPr>
      <w:r>
        <w:rPr>
          <w:sz w:val="24"/>
          <w:szCs w:val="24"/>
          <w:rtl w:val="0"/>
        </w:rPr>
        <w:tab/>
        <w:t>A mensura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da deformidade em cifose nas fraturas da coluna toracolombar tem sido dada como um simples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ngulo. No entanto, 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h</w:t>
      </w:r>
      <w:r>
        <w:rPr>
          <w:sz w:val="24"/>
          <w:szCs w:val="24"/>
          <w:rtl w:val="0"/>
          <w:lang w:val="pt-PT"/>
        </w:rPr>
        <w:t xml:space="preserve">á </w:t>
      </w:r>
      <w:r>
        <w:rPr>
          <w:sz w:val="24"/>
          <w:szCs w:val="24"/>
          <w:rtl w:val="0"/>
          <w:lang w:val="pt-PT"/>
        </w:rPr>
        <w:t>concord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ncia universal em como medir este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ngulo. Nosso estudo concluiu que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 de Cobb e o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todo das placas terminais opostas </w:t>
      </w:r>
      <w:r>
        <w:rPr>
          <w:sz w:val="24"/>
          <w:szCs w:val="24"/>
          <w:rtl w:val="0"/>
          <w:lang w:val="pt-PT"/>
        </w:rPr>
        <w:t>à</w:t>
      </w:r>
      <w:r>
        <w:rPr>
          <w:sz w:val="24"/>
          <w:szCs w:val="24"/>
          <w:rtl w:val="0"/>
          <w:lang w:val="pt-PT"/>
        </w:rPr>
        <w:t>s da v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rtebra fraturada apresentaram as melhores confiabilidades interobservadores. Al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m disso, o uso de radiografias digitalizadas e um programa computadorizado simples permitiram a realiza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medidas altamente confi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veis e reprodut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veis por todos os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todos, sugerindo assim o uso destes m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todos para aferi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digitais na pr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tica cl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nica de rotina de um cirurgi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 xml:space="preserve">o de coluna. </w:t>
      </w:r>
    </w:p>
    <w:p>
      <w:pPr>
        <w:pStyle w:val="Corpo A"/>
        <w:spacing w:after="160"/>
        <w:jc w:val="left"/>
        <w:rPr>
          <w:sz w:val="24"/>
          <w:szCs w:val="24"/>
        </w:rPr>
      </w:pPr>
    </w:p>
    <w:p>
      <w:pPr>
        <w:pStyle w:val="Corpo A"/>
        <w:spacing w:after="160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REFER</w:t>
      </w:r>
      <w:r>
        <w:rPr>
          <w:b w:val="1"/>
          <w:bCs w:val="1"/>
          <w:sz w:val="24"/>
          <w:szCs w:val="24"/>
          <w:rtl w:val="0"/>
          <w:lang w:val="pt-PT"/>
        </w:rPr>
        <w:t>Ê</w:t>
      </w:r>
      <w:r>
        <w:rPr>
          <w:b w:val="1"/>
          <w:bCs w:val="1"/>
          <w:sz w:val="24"/>
          <w:szCs w:val="24"/>
          <w:rtl w:val="0"/>
          <w:lang w:val="pt-PT"/>
        </w:rPr>
        <w:t>NCIAS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pt-PT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 xml:space="preserve">Sadiqi S, Verlaan JJ, Lehr AM, Chapman JR, Dvorak MF, Kandziora F, 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et al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. Measurement of kyphosis and vertebral body height loss in traumatic spine fractures: an international study. Eur Spine J. 2017;26(5):1483-1491. doi: 10.1007/s00586-016-4716-9.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pt-PT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Street J, Lenehan B, Albietz J, Bishop P, Dvorak M, Fisher C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, et al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. Intraobserver and interobserver reliabilty of measures of kyphosis in thoracolumbar fractures. Spine J. 2009;9(6):464-9. doi: 10.1016/j.spinee.2009.02.007.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pt-PT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Jiang SD, Wu QZ, Lan SH, Dai LY. Reliability of the measurement of thoracolumbar burst fracture kyphosis with Cobb angle, Gardner angle, and sagittal index. Arch Orthop Trauma Surg. 2012;132(2):221-5. doi: 10.1007/s00402-011-1394-2.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pt-PT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Chadha M, Bahadur R. Steffee variable screw placement system in the management of unstable thoracolumbar fractures: a Third World experience. Injury. 1998;29(10):737-42. doi: 10.1016/s0020-1383(98)00173-9.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pt-PT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McAfee PC, Yuan HA, Fredrickson BE, Lubicky JP. The value of computed tomography in thoracolumbar fractures. An analysis of one hundred consecutive cases and a new classification. J Bone Joint Surg Am. 1983;65(4):461-73.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pt-PT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Mikles MR, Stchur RP, Graziano GP. Posterior instrumentation for thoracolumbar fractures. J Am Acad Orthop Surg. 2004;12(6):424-35. doi: 10.5435/00124635-200411000-00007.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pt-PT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Verheyden AP, H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ö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 xml:space="preserve">lzl A, Ekkerlein H, Gercek E, Hauck S, Josten C, 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 xml:space="preserve">et al. 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Recommendations for the treatment of thoracolumbar and lumbar spine injuries. Unfallchirurg. 2011;114(1):9-16. doi: 10.1007/s00113-010-1934-1.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pt-PT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Kuklo TR, Polly DW, Owens BD, Zeidman SM, Chang AS, Klemme WR. Measurement of thoracic and lumbar fracture kyphosis: evaluation of intraobserver, interobserver, and technique variability. Spine (Phila Pa 1976). 2001;26(1):61-5; discussion 66. doi: 10.1097/00007632-200101010-00012.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Davies WE, Morris JH, Hill V. An analysis of conservative (non-surgical) management of thoracolumbar fractures and fracture-dislocations with neural damage. J Bone Joint Surg Am. 1980;62(8):1324-8.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Louis CA, Gauthier VY, Louis RP. Posterior approach with Louis plates for fractures of the thoracolumbar and lumbar spine with and without neurologic deficits. Spine (Phila Pa 1976). 1998;23(18):2030-9; discussion 2040. doi: 10.1097/00007632-199809150-00022.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Siebenga J, Leferink VJ, Segers MJ, Elzinga MJ, Bakker FC, Haarman HJ, 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et al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. Treatment of traumatic thoracolumbar spine fractures: a multicenter prospective randomized study of operative versus nonsurgical treatment. Spine (Phila Pa 1976). 2006;31(25):2881-90. doi: 10.1097/01.brs.0000247804.91869.1e.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Vaccaro AR, Kim DH, Brodke DS, Harris M, Chapman JR, Schildhauer T, 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et al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. Diagnosis and management of thoracolumbar spine fractures. Instr Course Lect. 2004;53:359-73.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Korovessis P, Baikousis A, Zacharatos S, Petsinis G, Koureas G, Iliopoulos P. Combined anterior plus posterior stabilization versus posterior short-segment instrumentation and fusion for mid-lumbar (L2-L4) burst fractures. Spine (Phila Pa 1976). 2006;31(8):859-68. doi: 10.1097/01.brs.0000209251.65417.16.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Magerl F, Aebi M, Gertzbein SD, Harms J, Nazarian S. A comprehensive classification of thoracic and lumbar injuries. Eur Spine J. 1994;3(4):184-201. doi: 10.1007/BF02221591.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Koo TK, Li MY. A Guideline of Selecting and Reporting Intraclass Correlation Coefficients for Reliability Research. J Chiropr Med. 2016;15(2):155-63. doi: 10.1016/j.jcm.2016.02.012.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Koch GG. Intraclass correlation coefficient. In: Kotz S, Johnson NL. Encyclopedia of statistical sciences. Vol 4. New York: John Wiley &amp; Sons; 1982. p. 213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–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7. 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pt-PT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Fisher RA. Statistical Methods for Research Workers. 12th ed. Edinburgh: Oliver and Boyd; 1954.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Farcy JP, Weidenbaum M, Glassman SD. Sagittal index in management of thoracolumbar burst fractures. Spine (Phila Pa 1976). 1990;15(9):958-65. doi: 10.1097/00007632-199009000-00022.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Domenicucci M, Preite R, Ramieri A, Ciappetta P, Delfini R, Romanini L. Thoracolumbar fractures without neurosurgical involvement: surgical or conservative treatment? J Neurosurg Sci. 1996;40(1):1-10.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Gertzbein SD, Court-Brown CM, Marks P, Martin C, Fazl M, Schwartz M, Jacobs RR. The neurological outcome following surgery for spinal fractures. Spine (Phila Pa 1976). 1988;13(6):641-4.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Turner-Smith AR, Harris JD, Houghton GR, Jefferson RJ. A method for analysis of back shape in scoliosis. J Biomech. 1988;21(6):497-509. doi: 10.1016/0021-9290(88)90242-4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Seel EH, Verrill CL, Mehta RL, Davies EM. Measurement of fracture kyphosis with the Oxford Cobbometer: intra- and interobserver reliabilities and comparison with other techniques. Spine (Phila Pa 1976). 2005;30(8):964-8. doi: 10.1097/01.brs.0000158952.43914.fb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spacing w:after="160"/>
        <w:jc w:val="left"/>
        <w:rPr>
          <w:lang w:val="en-US"/>
        </w:rPr>
      </w:pP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Schoenfeld AJ, Wood KB, Fisher CF, Fehlings M, Oner FC, Bouchard K, 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et al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. Posttraumatic kyphosis: current state of diagnosis and treatment: results of a multinational survey of spine trauma surgeons. J Spinal Disord Tech. 2010;23(7):e1-8. doi: 10.1097/BSD.0b013e3181c03517.</w:t>
      </w:r>
      <w:r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.</w:t>
      </w:r>
    </w:p>
    <w:p>
      <w:pPr>
        <w:pStyle w:val="List Paragraph"/>
        <w:spacing w:after="160"/>
        <w:ind w:left="0" w:firstLine="0"/>
        <w:jc w:val="left"/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:lang w:val="en-US"/>
          <w14:textFill>
            <w14:solidFill>
              <w14:srgbClr w14:val="212121"/>
            </w14:solidFill>
          </w14:textFill>
        </w:rPr>
      </w:pPr>
    </w:p>
    <w:p>
      <w:pPr>
        <w:pStyle w:val="List Paragraph"/>
        <w:spacing w:after="160"/>
        <w:ind w:left="0" w:firstLine="0"/>
        <w:jc w:val="left"/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List Paragraph"/>
        <w:spacing w:after="160"/>
        <w:ind w:left="0" w:firstLine="0"/>
        <w:jc w:val="left"/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List Paragraph"/>
        <w:spacing w:after="160"/>
        <w:ind w:left="0" w:firstLine="0"/>
        <w:jc w:val="left"/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List Paragraph"/>
        <w:spacing w:after="160"/>
        <w:ind w:left="0" w:firstLine="0"/>
        <w:jc w:val="left"/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List Paragraph"/>
        <w:spacing w:after="160"/>
        <w:ind w:left="0" w:firstLine="0"/>
        <w:jc w:val="left"/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List Paragraph"/>
        <w:spacing w:after="160"/>
        <w:ind w:left="0" w:firstLine="0"/>
        <w:jc w:val="left"/>
        <w:rPr>
          <w:rFonts w:ascii="Segoe UI" w:cs="Segoe UI" w:hAnsi="Segoe UI" w:eastAsia="Segoe UI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360" w:lineRule="auto"/>
        <w:ind w:left="0" w:firstLine="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7"/>
      <w:footerReference w:type="default" r:id="rId8"/>
      <w:pgSz w:w="11900" w:h="16840" w:orient="portrait"/>
      <w:pgMar w:top="1701" w:right="1134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